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DB9" w:rsidRDefault="00000000">
      <w:pPr>
        <w:spacing w:line="259" w:lineRule="auto"/>
        <w:ind w:left="59" w:firstLine="0"/>
        <w:jc w:val="center"/>
      </w:pPr>
      <w:r>
        <w:rPr>
          <w:b/>
          <w:sz w:val="26"/>
        </w:rPr>
        <w:t xml:space="preserve"> </w:t>
      </w:r>
    </w:p>
    <w:p w:rsidR="007B5DB9" w:rsidRDefault="00000000">
      <w:pPr>
        <w:spacing w:line="259" w:lineRule="auto"/>
        <w:ind w:left="125"/>
        <w:jc w:val="left"/>
      </w:pPr>
      <w:r>
        <w:rPr>
          <w:b/>
          <w:sz w:val="28"/>
        </w:rPr>
        <w:t xml:space="preserve">TOP-UP APPLICATION (Demande de fonds complémentaire) Croix-Rouge Danoise </w:t>
      </w:r>
    </w:p>
    <w:p w:rsidR="007B5DB9" w:rsidRDefault="00000000">
      <w:pPr>
        <w:spacing w:line="259" w:lineRule="auto"/>
        <w:ind w:left="0" w:right="2" w:firstLine="0"/>
        <w:jc w:val="center"/>
      </w:pPr>
      <w:r>
        <w:rPr>
          <w:b/>
          <w:sz w:val="28"/>
        </w:rPr>
        <w:t xml:space="preserve">Accord de Partenariat Stratégique </w:t>
      </w:r>
    </w:p>
    <w:p w:rsidR="007B5DB9" w:rsidRDefault="00000000">
      <w:pPr>
        <w:spacing w:after="39" w:line="259" w:lineRule="auto"/>
        <w:ind w:left="65" w:firstLine="0"/>
        <w:jc w:val="center"/>
      </w:pPr>
      <w:r>
        <w:rPr>
          <w:b/>
          <w:color w:val="999999"/>
          <w:sz w:val="28"/>
        </w:rPr>
        <w:t xml:space="preserve"> </w:t>
      </w:r>
    </w:p>
    <w:p w:rsidR="007B5DB9" w:rsidRDefault="00000000">
      <w:pPr>
        <w:numPr>
          <w:ilvl w:val="0"/>
          <w:numId w:val="1"/>
        </w:numPr>
        <w:spacing w:line="259" w:lineRule="auto"/>
        <w:ind w:hanging="944"/>
        <w:jc w:val="left"/>
      </w:pPr>
      <w:r>
        <w:rPr>
          <w:b/>
          <w:sz w:val="28"/>
        </w:rPr>
        <w:t xml:space="preserve">DONNÉES DE BASE </w:t>
      </w:r>
    </w:p>
    <w:p w:rsidR="007B5DB9" w:rsidRDefault="00000000">
      <w:pPr>
        <w:spacing w:line="259" w:lineRule="auto"/>
        <w:ind w:left="720" w:firstLine="0"/>
        <w:jc w:val="left"/>
      </w:pPr>
      <w:r>
        <w:rPr>
          <w:b/>
          <w:sz w:val="26"/>
        </w:rPr>
        <w:t xml:space="preserve"> </w:t>
      </w:r>
    </w:p>
    <w:tbl>
      <w:tblPr>
        <w:tblStyle w:val="TableGrid"/>
        <w:tblW w:w="9778" w:type="dxa"/>
        <w:tblInd w:w="6" w:type="dxa"/>
        <w:tblCellMar>
          <w:top w:w="54" w:type="dxa"/>
          <w:left w:w="107" w:type="dxa"/>
          <w:bottom w:w="0" w:type="dxa"/>
          <w:right w:w="101" w:type="dxa"/>
        </w:tblCellMar>
        <w:tblLook w:val="04A0" w:firstRow="1" w:lastRow="0" w:firstColumn="1" w:lastColumn="0" w:noHBand="0" w:noVBand="1"/>
      </w:tblPr>
      <w:tblGrid>
        <w:gridCol w:w="3046"/>
        <w:gridCol w:w="2369"/>
        <w:gridCol w:w="1976"/>
        <w:gridCol w:w="2387"/>
      </w:tblGrid>
      <w:tr w:rsidR="007B5DB9">
        <w:trPr>
          <w:trHeight w:val="548"/>
        </w:trPr>
        <w:tc>
          <w:tcPr>
            <w:tcW w:w="3046" w:type="dxa"/>
            <w:tcBorders>
              <w:top w:val="single" w:sz="4" w:space="0" w:color="000000"/>
              <w:left w:val="single" w:sz="4" w:space="0" w:color="000000"/>
              <w:bottom w:val="single" w:sz="4" w:space="0" w:color="000000"/>
              <w:right w:val="single" w:sz="4" w:space="0" w:color="000000"/>
            </w:tcBorders>
            <w:shd w:val="clear" w:color="auto" w:fill="DBE5F1"/>
          </w:tcPr>
          <w:p w:rsidR="007B5DB9" w:rsidRDefault="00000000">
            <w:pPr>
              <w:spacing w:line="259" w:lineRule="auto"/>
              <w:ind w:left="0" w:firstLine="0"/>
              <w:jc w:val="left"/>
            </w:pPr>
            <w:r>
              <w:t xml:space="preserve">Titre du projet </w:t>
            </w:r>
          </w:p>
        </w:tc>
        <w:tc>
          <w:tcPr>
            <w:tcW w:w="6732" w:type="dxa"/>
            <w:gridSpan w:val="3"/>
            <w:tcBorders>
              <w:top w:val="single" w:sz="4" w:space="0" w:color="000000"/>
              <w:left w:val="single" w:sz="4" w:space="0" w:color="000000"/>
              <w:bottom w:val="single" w:sz="4" w:space="0" w:color="000000"/>
              <w:right w:val="single" w:sz="4" w:space="0" w:color="000000"/>
            </w:tcBorders>
          </w:tcPr>
          <w:p w:rsidR="007B5DB9" w:rsidRDefault="00000000">
            <w:pPr>
              <w:spacing w:line="259" w:lineRule="auto"/>
              <w:ind w:left="2" w:firstLine="0"/>
              <w:jc w:val="left"/>
            </w:pPr>
            <w:r>
              <w:t xml:space="preserve">Centre du Sahel : renforcer la protection, la résilience et l'aide humanitaire dans les zones de conflit </w:t>
            </w:r>
          </w:p>
        </w:tc>
      </w:tr>
      <w:tr w:rsidR="007B5DB9">
        <w:trPr>
          <w:trHeight w:val="551"/>
        </w:trPr>
        <w:tc>
          <w:tcPr>
            <w:tcW w:w="3046" w:type="dxa"/>
            <w:tcBorders>
              <w:top w:val="single" w:sz="4" w:space="0" w:color="000000"/>
              <w:left w:val="single" w:sz="4" w:space="0" w:color="000000"/>
              <w:bottom w:val="single" w:sz="4" w:space="0" w:color="000000"/>
              <w:right w:val="single" w:sz="4" w:space="0" w:color="000000"/>
            </w:tcBorders>
            <w:shd w:val="clear" w:color="auto" w:fill="DBE5F1"/>
          </w:tcPr>
          <w:p w:rsidR="007B5DB9" w:rsidRDefault="00000000">
            <w:pPr>
              <w:spacing w:line="259" w:lineRule="auto"/>
              <w:ind w:left="0" w:firstLine="0"/>
              <w:jc w:val="left"/>
            </w:pPr>
            <w:r>
              <w:t xml:space="preserve">Pays (zone géographique ciblée) </w:t>
            </w:r>
          </w:p>
        </w:tc>
        <w:tc>
          <w:tcPr>
            <w:tcW w:w="6732" w:type="dxa"/>
            <w:gridSpan w:val="3"/>
            <w:tcBorders>
              <w:top w:val="single" w:sz="4" w:space="0" w:color="000000"/>
              <w:left w:val="single" w:sz="4" w:space="0" w:color="000000"/>
              <w:bottom w:val="single" w:sz="4" w:space="0" w:color="000000"/>
              <w:right w:val="single" w:sz="4" w:space="0" w:color="000000"/>
            </w:tcBorders>
          </w:tcPr>
          <w:p w:rsidR="007B5DB9" w:rsidRDefault="00000000">
            <w:pPr>
              <w:spacing w:line="259" w:lineRule="auto"/>
              <w:ind w:left="2" w:firstLine="0"/>
              <w:jc w:val="left"/>
            </w:pPr>
            <w:r>
              <w:t xml:space="preserve">Niger (1,600,000 DKK) </w:t>
            </w:r>
          </w:p>
        </w:tc>
      </w:tr>
      <w:tr w:rsidR="007B5DB9">
        <w:trPr>
          <w:trHeight w:val="551"/>
        </w:trPr>
        <w:tc>
          <w:tcPr>
            <w:tcW w:w="3046" w:type="dxa"/>
            <w:tcBorders>
              <w:top w:val="single" w:sz="4" w:space="0" w:color="000000"/>
              <w:left w:val="single" w:sz="4" w:space="0" w:color="000000"/>
              <w:bottom w:val="single" w:sz="4" w:space="0" w:color="000000"/>
              <w:right w:val="single" w:sz="4" w:space="0" w:color="000000"/>
            </w:tcBorders>
            <w:shd w:val="clear" w:color="auto" w:fill="DBE5F1"/>
          </w:tcPr>
          <w:p w:rsidR="007B5DB9" w:rsidRDefault="00000000">
            <w:pPr>
              <w:spacing w:line="259" w:lineRule="auto"/>
              <w:ind w:left="0" w:firstLine="0"/>
              <w:jc w:val="left"/>
            </w:pPr>
            <w:r>
              <w:t xml:space="preserve">Demande de fonds (DKK) </w:t>
            </w:r>
          </w:p>
        </w:tc>
        <w:tc>
          <w:tcPr>
            <w:tcW w:w="2369" w:type="dxa"/>
            <w:tcBorders>
              <w:top w:val="single" w:sz="4" w:space="0" w:color="000000"/>
              <w:left w:val="single" w:sz="4" w:space="0" w:color="000000"/>
              <w:bottom w:val="single" w:sz="4" w:space="0" w:color="000000"/>
              <w:right w:val="single" w:sz="4" w:space="0" w:color="000000"/>
            </w:tcBorders>
          </w:tcPr>
          <w:p w:rsidR="007B5DB9" w:rsidRDefault="00000000">
            <w:pPr>
              <w:spacing w:line="259" w:lineRule="auto"/>
              <w:ind w:left="2" w:firstLine="0"/>
              <w:jc w:val="left"/>
            </w:pPr>
            <w:r>
              <w:t xml:space="preserve">4,080,000 DKK </w:t>
            </w:r>
          </w:p>
        </w:tc>
        <w:tc>
          <w:tcPr>
            <w:tcW w:w="1976" w:type="dxa"/>
            <w:tcBorders>
              <w:top w:val="single" w:sz="4" w:space="0" w:color="000000"/>
              <w:left w:val="single" w:sz="4" w:space="0" w:color="000000"/>
              <w:bottom w:val="single" w:sz="4" w:space="0" w:color="000000"/>
              <w:right w:val="single" w:sz="4" w:space="0" w:color="000000"/>
            </w:tcBorders>
            <w:shd w:val="clear" w:color="auto" w:fill="DBE5F1"/>
          </w:tcPr>
          <w:p w:rsidR="007B5DB9" w:rsidRDefault="00000000">
            <w:pPr>
              <w:spacing w:line="259" w:lineRule="auto"/>
              <w:ind w:left="0" w:firstLine="0"/>
              <w:jc w:val="left"/>
            </w:pPr>
            <w:r>
              <w:t xml:space="preserve">Délai  </w:t>
            </w:r>
          </w:p>
        </w:tc>
        <w:tc>
          <w:tcPr>
            <w:tcW w:w="2387" w:type="dxa"/>
            <w:tcBorders>
              <w:top w:val="single" w:sz="4" w:space="0" w:color="000000"/>
              <w:left w:val="single" w:sz="4" w:space="0" w:color="000000"/>
              <w:bottom w:val="single" w:sz="4" w:space="0" w:color="000000"/>
              <w:right w:val="single" w:sz="4" w:space="0" w:color="000000"/>
            </w:tcBorders>
          </w:tcPr>
          <w:p w:rsidR="007B5DB9" w:rsidRDefault="00000000">
            <w:pPr>
              <w:spacing w:line="259" w:lineRule="auto"/>
              <w:ind w:left="2" w:firstLine="0"/>
              <w:jc w:val="left"/>
            </w:pPr>
            <w:r>
              <w:t>20/06/202</w:t>
            </w:r>
            <w:r w:rsidR="00505655">
              <w:t>4</w:t>
            </w:r>
            <w:r>
              <w:t xml:space="preserve"> – </w:t>
            </w:r>
          </w:p>
          <w:p w:rsidR="007B5DB9" w:rsidRDefault="00505655">
            <w:pPr>
              <w:spacing w:line="259" w:lineRule="auto"/>
              <w:ind w:left="2" w:firstLine="0"/>
              <w:jc w:val="left"/>
            </w:pPr>
            <w:r>
              <w:t>20</w:t>
            </w:r>
            <w:r w:rsidR="00000000">
              <w:t>/1</w:t>
            </w:r>
            <w:r>
              <w:t>6</w:t>
            </w:r>
            <w:r w:rsidR="00000000">
              <w:t>/202</w:t>
            </w:r>
            <w:r>
              <w:t>5</w:t>
            </w:r>
            <w:r w:rsidR="00000000">
              <w:t xml:space="preserve"> </w:t>
            </w:r>
          </w:p>
        </w:tc>
      </w:tr>
      <w:tr w:rsidR="007B5DB9">
        <w:trPr>
          <w:trHeight w:val="548"/>
        </w:trPr>
        <w:tc>
          <w:tcPr>
            <w:tcW w:w="3046" w:type="dxa"/>
            <w:tcBorders>
              <w:top w:val="single" w:sz="4" w:space="0" w:color="000000"/>
              <w:left w:val="single" w:sz="4" w:space="0" w:color="000000"/>
              <w:bottom w:val="single" w:sz="4" w:space="0" w:color="000000"/>
              <w:right w:val="single" w:sz="4" w:space="0" w:color="000000"/>
            </w:tcBorders>
            <w:shd w:val="clear" w:color="auto" w:fill="DBE5F1"/>
          </w:tcPr>
          <w:p w:rsidR="007B5DB9" w:rsidRDefault="00000000">
            <w:pPr>
              <w:spacing w:line="259" w:lineRule="auto"/>
              <w:ind w:left="0" w:firstLine="0"/>
              <w:jc w:val="left"/>
            </w:pPr>
            <w:r>
              <w:t xml:space="preserve">Toutes les organisations partenaires </w:t>
            </w:r>
          </w:p>
        </w:tc>
        <w:tc>
          <w:tcPr>
            <w:tcW w:w="6732" w:type="dxa"/>
            <w:gridSpan w:val="3"/>
            <w:tcBorders>
              <w:top w:val="single" w:sz="4" w:space="0" w:color="000000"/>
              <w:left w:val="single" w:sz="4" w:space="0" w:color="000000"/>
              <w:bottom w:val="single" w:sz="4" w:space="0" w:color="000000"/>
              <w:right w:val="single" w:sz="4" w:space="0" w:color="000000"/>
            </w:tcBorders>
          </w:tcPr>
          <w:p w:rsidR="007B5DB9" w:rsidRDefault="00000000">
            <w:pPr>
              <w:spacing w:line="259" w:lineRule="auto"/>
              <w:ind w:left="2" w:firstLine="0"/>
            </w:pPr>
            <w:r>
              <w:t xml:space="preserve">Croix-Rouge du Niger </w:t>
            </w:r>
          </w:p>
        </w:tc>
      </w:tr>
    </w:tbl>
    <w:p w:rsidR="007B5DB9" w:rsidRDefault="00000000">
      <w:pPr>
        <w:spacing w:after="60" w:line="259" w:lineRule="auto"/>
        <w:ind w:left="0" w:firstLine="0"/>
        <w:jc w:val="left"/>
      </w:pPr>
      <w:r>
        <w:rPr>
          <w:sz w:val="26"/>
        </w:rPr>
        <w:t xml:space="preserve"> </w:t>
      </w:r>
    </w:p>
    <w:p w:rsidR="007B5DB9" w:rsidRDefault="00000000">
      <w:pPr>
        <w:numPr>
          <w:ilvl w:val="0"/>
          <w:numId w:val="1"/>
        </w:numPr>
        <w:spacing w:line="259" w:lineRule="auto"/>
        <w:ind w:hanging="944"/>
        <w:jc w:val="left"/>
      </w:pPr>
      <w:r>
        <w:rPr>
          <w:b/>
          <w:sz w:val="28"/>
        </w:rPr>
        <w:t xml:space="preserve">CONTEXTE </w:t>
      </w:r>
    </w:p>
    <w:p w:rsidR="007B5DB9" w:rsidRDefault="00000000">
      <w:pPr>
        <w:spacing w:line="259" w:lineRule="auto"/>
        <w:ind w:left="0" w:firstLine="0"/>
        <w:jc w:val="left"/>
      </w:pPr>
      <w:r>
        <w:t xml:space="preserve"> </w:t>
      </w:r>
    </w:p>
    <w:p w:rsidR="007B5DB9" w:rsidRDefault="00000000">
      <w:pPr>
        <w:ind w:left="-5" w:right="-10"/>
      </w:pPr>
      <w:r>
        <w:t>Une crise multidimensionnelle est en cours dans les pays situés au centre du Sahel - Mali, Niger et Burkina Faso - en raison de l'instabilité politique et économique, des graves effets du changement climatique et de l'insécurité croissante. Un rapport récent</w:t>
      </w:r>
      <w:r>
        <w:rPr>
          <w:sz w:val="21"/>
          <w:vertAlign w:val="superscript"/>
        </w:rPr>
        <w:footnoteReference w:id="1"/>
      </w:r>
      <w:r>
        <w:t xml:space="preserve"> place les crises de déplacement du Burkina Faso et du Mali parmi les dix crises les plus négligées en 2022. Cette situation, conjuguée aux effets durables du COVID-19, plonge la région dans une crise économique encore plus profonde. Des millions de personnes sont confrontées à des besoins complexes et croissants. L'OCHA estime à 17,7 millions le nombre de personnes dans le besoin dans les trois pays</w:t>
      </w:r>
      <w:r>
        <w:rPr>
          <w:sz w:val="21"/>
          <w:vertAlign w:val="superscript"/>
        </w:rPr>
        <w:t>2</w:t>
      </w:r>
      <w:r>
        <w:t xml:space="preserve">. Les femmes et les enfants, ainsi que les jeunes, sont particulièrement vulnérables. Les besoins de base, la santé, et le soutien psychosocial figurent parmi les besoins permanents identifiés. Le renforcement des capacités des communautés a mieux anticipé, géré et se remettre des chocs climatiques est également un besoin nécessaire. </w:t>
      </w:r>
    </w:p>
    <w:p w:rsidR="007B5DB9" w:rsidRDefault="00000000">
      <w:pPr>
        <w:spacing w:line="259" w:lineRule="auto"/>
        <w:ind w:left="0" w:firstLine="0"/>
        <w:jc w:val="left"/>
      </w:pPr>
      <w:r>
        <w:rPr>
          <w:b/>
        </w:rPr>
        <w:t xml:space="preserve"> </w:t>
      </w:r>
    </w:p>
    <w:p w:rsidR="007B5DB9" w:rsidRDefault="00000000">
      <w:pPr>
        <w:spacing w:after="79" w:line="259" w:lineRule="auto"/>
        <w:ind w:left="0" w:firstLine="0"/>
        <w:jc w:val="left"/>
      </w:pPr>
      <w:r>
        <w:rPr>
          <w:b/>
        </w:rPr>
        <w:t xml:space="preserve"> </w:t>
      </w:r>
    </w:p>
    <w:p w:rsidR="007B5DB9" w:rsidRDefault="00000000">
      <w:pPr>
        <w:numPr>
          <w:ilvl w:val="0"/>
          <w:numId w:val="1"/>
        </w:numPr>
        <w:spacing w:line="237" w:lineRule="auto"/>
        <w:ind w:hanging="944"/>
        <w:jc w:val="left"/>
      </w:pPr>
      <w:r>
        <w:rPr>
          <w:b/>
          <w:sz w:val="28"/>
        </w:rPr>
        <w:t xml:space="preserve">OBJECTIF, PARTENAIRE(S) CHARGÉ(S) DE LA MISE EN ŒUVRE ET GROUPE CIBLE  </w:t>
      </w:r>
    </w:p>
    <w:p w:rsidR="007B5DB9" w:rsidRDefault="00000000">
      <w:pPr>
        <w:spacing w:line="259" w:lineRule="auto"/>
        <w:ind w:left="0" w:firstLine="0"/>
        <w:jc w:val="left"/>
      </w:pPr>
      <w:r>
        <w:t xml:space="preserve"> </w:t>
      </w:r>
    </w:p>
    <w:p w:rsidR="007B5DB9" w:rsidRDefault="00000000">
      <w:pPr>
        <w:ind w:left="-5" w:right="-10"/>
      </w:pPr>
      <w:r>
        <w:t xml:space="preserve">Le Top-up répondra aux besoins susmentionnés des personnes déplacées et des communautés d'accueil vulnérables. L’objectif est de les aider à être plus résilientes et donc à mener des vies plus sûres et plus dignes. Une approche triple nexus sera appliquée pour renforcer les activités en cours dans les zones frontalières ciblées dans les trois pays particulièrement touchés - Tillabéri au Niger, Mopti et Gao au Mali et Kaya et Fada au Burkina Faso. La CRD continuera à travailler avec la Croix-Rouge du Burkina Faso, la Croix-Rouge du Mali et la Croix-Rouge du Niger pour garantir à la fois des interventions rapides et une certaine flexibilité afin que les personnes touchées par les conflits, les catastrophes et les crises complexes soient plus résilientes et vivent dans des communautés plus sûres et plus inclusives. Le Top-up permettra également d'augmenter l'assistance en espèces et en bons d'achat (CVA) pour 1 000 ménages supplémentaires. Il renforcera les actions d'anticipation existant afin de mieux préparer les communautés à anticiper et à faire face aux inondations et à l'insécurité alimentaire. Il permettra d'offrir des services de formation et de protection dans des zones supplémentaires par rapport à ce qui est déjà couvert par le </w:t>
      </w:r>
      <w:r>
        <w:lastRenderedPageBreak/>
        <w:t xml:space="preserve">SPA et d'autres fonds. Dans toutes les zones ciblées, les sociétés nationales de la Croix-Rouge continuent d'avoir accès aux populations dans le besoin, en toute sécurité, et avec des volontaires étroitement surveillés. </w:t>
      </w:r>
    </w:p>
    <w:p w:rsidR="007B5DB9" w:rsidRDefault="00000000">
      <w:pPr>
        <w:spacing w:after="76" w:line="259" w:lineRule="auto"/>
        <w:ind w:left="0" w:firstLine="0"/>
        <w:jc w:val="left"/>
      </w:pPr>
      <w:r>
        <w:t xml:space="preserve"> </w:t>
      </w:r>
    </w:p>
    <w:p w:rsidR="007B5DB9" w:rsidRDefault="00000000">
      <w:pPr>
        <w:numPr>
          <w:ilvl w:val="0"/>
          <w:numId w:val="1"/>
        </w:numPr>
        <w:spacing w:line="259" w:lineRule="auto"/>
        <w:ind w:hanging="944"/>
        <w:jc w:val="left"/>
      </w:pPr>
      <w:r>
        <w:rPr>
          <w:b/>
          <w:sz w:val="28"/>
        </w:rPr>
        <w:t xml:space="preserve">ACTIVITES </w:t>
      </w:r>
    </w:p>
    <w:p w:rsidR="007B5DB9" w:rsidRDefault="00000000">
      <w:pPr>
        <w:spacing w:after="505" w:line="259" w:lineRule="auto"/>
        <w:ind w:left="0" w:firstLine="0"/>
        <w:jc w:val="left"/>
      </w:pPr>
      <w:r>
        <w:rPr>
          <w:b/>
        </w:rPr>
        <w:t xml:space="preserve"> </w:t>
      </w:r>
    </w:p>
    <w:p w:rsidR="007B5DB9" w:rsidRDefault="00000000">
      <w:pPr>
        <w:spacing w:line="259" w:lineRule="auto"/>
        <w:ind w:left="0" w:firstLine="0"/>
        <w:jc w:val="left"/>
      </w:pPr>
      <w:r>
        <w:rPr>
          <w:rFonts w:ascii="Calibri" w:eastAsia="Calibri" w:hAnsi="Calibri" w:cs="Calibri"/>
          <w:noProof/>
          <w:sz w:val="22"/>
        </w:rPr>
        <mc:AlternateContent>
          <mc:Choice Requires="wpg">
            <w:drawing>
              <wp:inline distT="0" distB="0" distL="0" distR="0">
                <wp:extent cx="1829054" cy="7620"/>
                <wp:effectExtent l="0" t="0" r="0" b="0"/>
                <wp:docPr id="5040" name="Group 504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805" name="Shape 580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0" style="width:144.02pt;height:0.600037pt;mso-position-horizontal-relative:char;mso-position-vertical-relative:line" coordsize="18290,76">
                <v:shape id="Shape 580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17"/>
        </w:rPr>
        <w:t xml:space="preserve"> </w:t>
      </w:r>
    </w:p>
    <w:tbl>
      <w:tblPr>
        <w:tblStyle w:val="TableGrid"/>
        <w:tblW w:w="10464" w:type="dxa"/>
        <w:tblInd w:w="0" w:type="dxa"/>
        <w:tblCellMar>
          <w:top w:w="57" w:type="dxa"/>
          <w:left w:w="108" w:type="dxa"/>
          <w:bottom w:w="3" w:type="dxa"/>
          <w:right w:w="48" w:type="dxa"/>
        </w:tblCellMar>
        <w:tblLook w:val="04A0" w:firstRow="1" w:lastRow="0" w:firstColumn="1" w:lastColumn="0" w:noHBand="0" w:noVBand="1"/>
      </w:tblPr>
      <w:tblGrid>
        <w:gridCol w:w="2268"/>
        <w:gridCol w:w="8196"/>
      </w:tblGrid>
      <w:tr w:rsidR="007B5DB9">
        <w:trPr>
          <w:trHeight w:val="821"/>
        </w:trPr>
        <w:tc>
          <w:tcPr>
            <w:tcW w:w="10464" w:type="dxa"/>
            <w:gridSpan w:val="2"/>
            <w:tcBorders>
              <w:top w:val="single" w:sz="4" w:space="0" w:color="000000"/>
              <w:left w:val="single" w:sz="4" w:space="0" w:color="000000"/>
              <w:bottom w:val="single" w:sz="4" w:space="0" w:color="000000"/>
              <w:right w:val="single" w:sz="4" w:space="0" w:color="000000"/>
            </w:tcBorders>
          </w:tcPr>
          <w:p w:rsidR="007B5DB9" w:rsidRDefault="00000000">
            <w:pPr>
              <w:spacing w:line="259" w:lineRule="auto"/>
              <w:ind w:left="0" w:right="59" w:firstLine="0"/>
            </w:pPr>
            <w:r>
              <w:rPr>
                <w:b/>
              </w:rPr>
              <w:t xml:space="preserve">Objectif Général des activités : les personnes touchées par les conflits, les catastrophes et les crises complexes sont plus résilientes et vivent dans des communautés plus sûres et plus inclusives, au Burkina Faso, au Mali et au Niger.  </w:t>
            </w:r>
          </w:p>
        </w:tc>
      </w:tr>
      <w:tr w:rsidR="007B5DB9">
        <w:trPr>
          <w:trHeight w:val="562"/>
        </w:trPr>
        <w:tc>
          <w:tcPr>
            <w:tcW w:w="2268" w:type="dxa"/>
            <w:tcBorders>
              <w:top w:val="single" w:sz="4" w:space="0" w:color="000000"/>
              <w:left w:val="single" w:sz="4" w:space="0" w:color="000000"/>
              <w:bottom w:val="single" w:sz="4" w:space="0" w:color="000000"/>
              <w:right w:val="single" w:sz="4" w:space="0" w:color="000000"/>
            </w:tcBorders>
            <w:vAlign w:val="center"/>
          </w:tcPr>
          <w:p w:rsidR="007B5DB9" w:rsidRDefault="00000000">
            <w:pPr>
              <w:spacing w:line="259" w:lineRule="auto"/>
              <w:ind w:left="0" w:firstLine="0"/>
              <w:jc w:val="left"/>
            </w:pPr>
            <w:r>
              <w:rPr>
                <w:b/>
              </w:rPr>
              <w:t xml:space="preserve">Résultats </w:t>
            </w:r>
          </w:p>
        </w:tc>
        <w:tc>
          <w:tcPr>
            <w:tcW w:w="8195" w:type="dxa"/>
            <w:tcBorders>
              <w:top w:val="single" w:sz="4" w:space="0" w:color="000000"/>
              <w:left w:val="single" w:sz="4" w:space="0" w:color="000000"/>
              <w:bottom w:val="single" w:sz="4" w:space="0" w:color="000000"/>
              <w:right w:val="single" w:sz="4" w:space="0" w:color="000000"/>
            </w:tcBorders>
            <w:vAlign w:val="bottom"/>
          </w:tcPr>
          <w:p w:rsidR="007B5DB9" w:rsidRDefault="00000000">
            <w:pPr>
              <w:tabs>
                <w:tab w:val="center" w:pos="1495"/>
              </w:tabs>
              <w:spacing w:line="259" w:lineRule="auto"/>
              <w:ind w:left="0" w:firstLine="0"/>
              <w:jc w:val="left"/>
            </w:pPr>
            <w:r>
              <w:rPr>
                <w:b/>
              </w:rPr>
              <w:t>Activit</w:t>
            </w:r>
            <w:r>
              <w:rPr>
                <w:b/>
                <w:sz w:val="37"/>
                <w:vertAlign w:val="subscript"/>
              </w:rPr>
              <w:t xml:space="preserve"> </w:t>
            </w:r>
            <w:r>
              <w:rPr>
                <w:b/>
                <w:sz w:val="37"/>
                <w:vertAlign w:val="subscript"/>
              </w:rPr>
              <w:tab/>
            </w:r>
            <w:r>
              <w:rPr>
                <w:b/>
              </w:rPr>
              <w:t xml:space="preserve">és et description </w:t>
            </w:r>
          </w:p>
        </w:tc>
      </w:tr>
      <w:tr w:rsidR="007B5DB9">
        <w:trPr>
          <w:trHeight w:val="2710"/>
        </w:trPr>
        <w:tc>
          <w:tcPr>
            <w:tcW w:w="2268" w:type="dxa"/>
            <w:tcBorders>
              <w:top w:val="single" w:sz="4" w:space="0" w:color="000000"/>
              <w:left w:val="single" w:sz="4" w:space="0" w:color="000000"/>
              <w:bottom w:val="single" w:sz="4" w:space="0" w:color="000000"/>
              <w:right w:val="single" w:sz="4" w:space="0" w:color="000000"/>
            </w:tcBorders>
          </w:tcPr>
          <w:p w:rsidR="007B5DB9" w:rsidRDefault="00000000">
            <w:pPr>
              <w:spacing w:after="2" w:line="238" w:lineRule="auto"/>
              <w:ind w:left="0" w:firstLine="0"/>
              <w:jc w:val="left"/>
            </w:pPr>
            <w:r>
              <w:t xml:space="preserve">Résultat1 </w:t>
            </w:r>
            <w:r>
              <w:tab/>
              <w:t xml:space="preserve">: </w:t>
            </w:r>
            <w:r>
              <w:tab/>
              <w:t xml:space="preserve">les personnes déplacées et les membres des communautés </w:t>
            </w:r>
          </w:p>
          <w:p w:rsidR="007B5DB9" w:rsidRDefault="00000000">
            <w:pPr>
              <w:spacing w:line="238" w:lineRule="auto"/>
              <w:ind w:left="0" w:right="58" w:firstLine="0"/>
            </w:pPr>
            <w:r>
              <w:t xml:space="preserve">d'accueil en situation de vulnérabilité voient leurs besoins </w:t>
            </w:r>
          </w:p>
          <w:p w:rsidR="007B5DB9" w:rsidRDefault="00000000">
            <w:pPr>
              <w:spacing w:line="259" w:lineRule="auto"/>
              <w:ind w:left="0" w:firstLine="0"/>
              <w:jc w:val="left"/>
            </w:pPr>
            <w:r>
              <w:t xml:space="preserve">fondamentaux satisfaits </w:t>
            </w:r>
            <w:r>
              <w:tab/>
              <w:t xml:space="preserve">dans </w:t>
            </w:r>
            <w:r>
              <w:tab/>
              <w:t>la dignité.</w:t>
            </w:r>
            <w:r>
              <w:rPr>
                <w:b/>
              </w:rPr>
              <w:t xml:space="preserve"> </w:t>
            </w:r>
          </w:p>
        </w:tc>
        <w:tc>
          <w:tcPr>
            <w:tcW w:w="8195" w:type="dxa"/>
            <w:tcBorders>
              <w:top w:val="single" w:sz="4" w:space="0" w:color="000000"/>
              <w:left w:val="single" w:sz="4" w:space="0" w:color="000000"/>
              <w:bottom w:val="single" w:sz="4" w:space="0" w:color="000000"/>
              <w:right w:val="single" w:sz="4" w:space="0" w:color="000000"/>
            </w:tcBorders>
            <w:vAlign w:val="bottom"/>
          </w:tcPr>
          <w:p w:rsidR="007B5DB9" w:rsidRDefault="00000000">
            <w:pPr>
              <w:spacing w:after="22" w:line="239" w:lineRule="auto"/>
              <w:ind w:left="0" w:right="60" w:firstLine="0"/>
            </w:pPr>
            <w:r>
              <w:t>Fournir une assistance humanitaire à 1 000 ménages de personnes déplacées, ainsi qu’aux membres des communautés d'accueil dans des situations particulièrement vulnérables en leur apportant une aide en espèces et en bons d'achat, des articles non alimentaires, tout en mettant l'accent sur les besoins des femmes et des filles, des services de santé de base, des services de santé mentale et des services psychosociaux, par l'intermédiaire de points d'appui mobiles et de services humanitaires</w:t>
            </w:r>
            <w:r>
              <w:rPr>
                <w:sz w:val="21"/>
                <w:vertAlign w:val="superscript"/>
              </w:rPr>
              <w:t>3</w:t>
            </w:r>
            <w:r>
              <w:t xml:space="preserve">. </w:t>
            </w:r>
          </w:p>
          <w:p w:rsidR="007B5DB9" w:rsidRDefault="00000000">
            <w:pPr>
              <w:spacing w:line="259" w:lineRule="auto"/>
              <w:ind w:left="0" w:right="58" w:firstLine="0"/>
            </w:pPr>
            <w:r>
              <w:t xml:space="preserve">Renforcer la capacité des établissements de santé locaux et du personnel dans la délivrance des services de santé et de santé mentale de qualité, et enfin soutenir l'organisation d'activités de sensibilisation aux questions de santé mentale. </w:t>
            </w:r>
          </w:p>
        </w:tc>
      </w:tr>
      <w:tr w:rsidR="007B5DB9">
        <w:trPr>
          <w:trHeight w:val="1901"/>
        </w:trPr>
        <w:tc>
          <w:tcPr>
            <w:tcW w:w="2268" w:type="dxa"/>
            <w:tcBorders>
              <w:top w:val="single" w:sz="4" w:space="0" w:color="000000"/>
              <w:left w:val="single" w:sz="4" w:space="0" w:color="000000"/>
              <w:bottom w:val="single" w:sz="4" w:space="0" w:color="000000"/>
              <w:right w:val="single" w:sz="4" w:space="0" w:color="000000"/>
            </w:tcBorders>
          </w:tcPr>
          <w:p w:rsidR="007B5DB9" w:rsidRDefault="00000000">
            <w:pPr>
              <w:spacing w:line="239" w:lineRule="auto"/>
              <w:ind w:left="0" w:firstLine="0"/>
              <w:jc w:val="left"/>
            </w:pPr>
            <w:r>
              <w:t xml:space="preserve">Résultat2: </w:t>
            </w:r>
            <w:r>
              <w:tab/>
              <w:t xml:space="preserve">les communautés </w:t>
            </w:r>
          </w:p>
          <w:p w:rsidR="007B5DB9" w:rsidRDefault="00000000">
            <w:pPr>
              <w:spacing w:line="259" w:lineRule="auto"/>
              <w:ind w:left="0" w:firstLine="0"/>
              <w:jc w:val="left"/>
            </w:pPr>
            <w:r>
              <w:t xml:space="preserve">anticipent les chocs, y font </w:t>
            </w:r>
            <w:r>
              <w:tab/>
              <w:t xml:space="preserve">face </w:t>
            </w:r>
            <w:r>
              <w:tab/>
              <w:t xml:space="preserve">et </w:t>
            </w:r>
            <w:r>
              <w:tab/>
              <w:t xml:space="preserve">s'en remettent, </w:t>
            </w:r>
            <w:r>
              <w:tab/>
              <w:t xml:space="preserve">et renforcent </w:t>
            </w:r>
            <w:r>
              <w:tab/>
              <w:t>leur résilience.</w:t>
            </w:r>
            <w:r>
              <w:rPr>
                <w:b/>
              </w:rPr>
              <w:t xml:space="preserve"> </w:t>
            </w:r>
          </w:p>
        </w:tc>
        <w:tc>
          <w:tcPr>
            <w:tcW w:w="8195" w:type="dxa"/>
            <w:tcBorders>
              <w:top w:val="single" w:sz="4" w:space="0" w:color="000000"/>
              <w:left w:val="single" w:sz="4" w:space="0" w:color="000000"/>
              <w:bottom w:val="single" w:sz="4" w:space="0" w:color="000000"/>
              <w:right w:val="single" w:sz="4" w:space="0" w:color="000000"/>
            </w:tcBorders>
            <w:vAlign w:val="bottom"/>
          </w:tcPr>
          <w:p w:rsidR="007B5DB9" w:rsidRDefault="00000000">
            <w:pPr>
              <w:spacing w:line="259" w:lineRule="auto"/>
              <w:ind w:left="0" w:right="59" w:firstLine="0"/>
            </w:pPr>
            <w:r>
              <w:t>Développer et mettre en œuvre avec les communautés concernées un système d'alerte précoce adapté aux risques identifiés, et établir des plans efficaces de préparation et de réponse aux urgences en cas de catastrophe, y compris des mesures d'atténuation. Cela soutiendra les actions d'anticipation (en cours) développées avec les communautés concernées (</w:t>
            </w:r>
            <w:r>
              <w:rPr>
                <w:sz w:val="37"/>
                <w:vertAlign w:val="subscript"/>
              </w:rPr>
              <w:t xml:space="preserve"> </w:t>
            </w:r>
            <w:r>
              <w:t xml:space="preserve">Mali et Niger). </w:t>
            </w:r>
          </w:p>
        </w:tc>
      </w:tr>
      <w:tr w:rsidR="007B5DB9">
        <w:trPr>
          <w:trHeight w:val="3250"/>
        </w:trPr>
        <w:tc>
          <w:tcPr>
            <w:tcW w:w="2268" w:type="dxa"/>
            <w:tcBorders>
              <w:top w:val="single" w:sz="4" w:space="0" w:color="000000"/>
              <w:left w:val="single" w:sz="4" w:space="0" w:color="000000"/>
              <w:bottom w:val="single" w:sz="4" w:space="0" w:color="000000"/>
              <w:right w:val="single" w:sz="4" w:space="0" w:color="000000"/>
            </w:tcBorders>
          </w:tcPr>
          <w:p w:rsidR="007B5DB9" w:rsidRDefault="00000000">
            <w:pPr>
              <w:spacing w:line="259" w:lineRule="auto"/>
              <w:ind w:left="0" w:right="58" w:firstLine="0"/>
            </w:pPr>
            <w:r>
              <w:t>Résultat 3 : les communautés sont inclusives et les personnes vivent de manière plus sûre et plus digne.</w:t>
            </w:r>
            <w:r>
              <w:rPr>
                <w:b/>
              </w:rPr>
              <w:t xml:space="preserve"> </w:t>
            </w:r>
          </w:p>
        </w:tc>
        <w:tc>
          <w:tcPr>
            <w:tcW w:w="8195" w:type="dxa"/>
            <w:tcBorders>
              <w:top w:val="single" w:sz="4" w:space="0" w:color="000000"/>
              <w:left w:val="single" w:sz="4" w:space="0" w:color="000000"/>
              <w:bottom w:val="single" w:sz="4" w:space="0" w:color="000000"/>
              <w:right w:val="single" w:sz="4" w:space="0" w:color="000000"/>
            </w:tcBorders>
          </w:tcPr>
          <w:p w:rsidR="007B5DB9" w:rsidRDefault="00000000">
            <w:pPr>
              <w:spacing w:after="2" w:line="238" w:lineRule="auto"/>
              <w:ind w:left="0" w:right="58" w:firstLine="0"/>
            </w:pPr>
            <w:r>
              <w:t xml:space="preserve">Renforcer les partenariats en cours avec les entités nationales spécialisées dans la cohésion sociale pour élaborer des mécanismes et des outils visant à renforcer leur capacité à traiter les questions de cohésion sociale, et à atténuer les tensions au sein des communautés d'une manière sensible aux conflits.  </w:t>
            </w:r>
          </w:p>
          <w:p w:rsidR="007B5DB9" w:rsidRDefault="00000000">
            <w:pPr>
              <w:spacing w:after="1" w:line="238" w:lineRule="auto"/>
              <w:ind w:left="0" w:right="60" w:firstLine="0"/>
            </w:pPr>
            <w:r>
              <w:t xml:space="preserve">Mettre en œuvre des mesures de protection et soutenir le renforcement des systèmes de référence pour répondre aux besoins spécifiques et aux vulnérabilités des personnes déplacées et des communautés d'accueil, en mettant l'accent sur la violence basée sur le genre.  </w:t>
            </w:r>
          </w:p>
          <w:p w:rsidR="007B5DB9" w:rsidRDefault="00000000">
            <w:pPr>
              <w:spacing w:line="259" w:lineRule="auto"/>
              <w:ind w:left="0" w:right="61" w:firstLine="0"/>
            </w:pPr>
            <w:r>
              <w:t xml:space="preserve">Organiser le renforcement des capacités en matière de premiers secours psychologiques, de sensibilisation autour des violences liées au genre, de prévention de l'exploitation et des abus sexuels, de genre, d'inclusion et de normes minimales, avec les sociétés nationales d'accueil, les autorités locales et les communautés. </w:t>
            </w:r>
          </w:p>
        </w:tc>
      </w:tr>
    </w:tbl>
    <w:p w:rsidR="007B5DB9" w:rsidRDefault="00000000">
      <w:pPr>
        <w:spacing w:after="78" w:line="259" w:lineRule="auto"/>
        <w:ind w:left="0" w:firstLine="0"/>
        <w:jc w:val="left"/>
      </w:pPr>
      <w:r>
        <w:rPr>
          <w:b/>
        </w:rPr>
        <w:t xml:space="preserve"> </w:t>
      </w:r>
    </w:p>
    <w:p w:rsidR="007B5DB9" w:rsidRDefault="00000000">
      <w:pPr>
        <w:numPr>
          <w:ilvl w:val="0"/>
          <w:numId w:val="1"/>
        </w:numPr>
        <w:spacing w:line="259" w:lineRule="auto"/>
        <w:ind w:hanging="944"/>
        <w:jc w:val="left"/>
      </w:pPr>
      <w:r>
        <w:rPr>
          <w:b/>
          <w:sz w:val="28"/>
        </w:rPr>
        <w:t xml:space="preserve">COMPLEMENTARITE AVEC LES PROGRAMMES EXISTANTS DU SPA </w:t>
      </w:r>
    </w:p>
    <w:p w:rsidR="007B5DB9" w:rsidRDefault="00000000">
      <w:pPr>
        <w:spacing w:after="117" w:line="259" w:lineRule="auto"/>
        <w:ind w:left="0" w:firstLine="0"/>
        <w:jc w:val="left"/>
      </w:pPr>
      <w:r>
        <w:rPr>
          <w:sz w:val="28"/>
        </w:rPr>
        <w:lastRenderedPageBreak/>
        <w:t xml:space="preserve">  </w:t>
      </w:r>
    </w:p>
    <w:p w:rsidR="007B5DB9" w:rsidRDefault="00000000">
      <w:pPr>
        <w:spacing w:after="125"/>
        <w:ind w:left="-5" w:right="-10"/>
      </w:pPr>
      <w:r>
        <w:t>La CRD, par le biais de son accord de partenariat stratégique de quatre ans avec le ministère danois des Affaires étrangères, soutient les Sociétés nationales du Burkina Faso, du Mali et du Niger dans l’exercice de leur rôle d'auxiliaires de pouvoirs publics dans le domaine humanitaire, autrement dit venir en aide aux personnes en situation d'extrême vulnérabilité. La théorie du changement (TOC) pour le centre du Sahel a été élaborée en 2022 pour le SPA de la CRD. L’objectif général et les résultats du Top-up s'alignent avec le TOC. Les activités proposées complètent et renforcent le SPA dans les trois pays. Au Burkina Faso, les activités renforceront le programme existant, qui traite des risques de protection et des conséquences pour les communautés vulnérables affectées par les crises en cours. Au Mali et au Niger, les activités renforceront les capacités des communautés à anticiper les chocs liés au climat, à y faire face et à s'en remettre. Des services de protection, de santé mentale et de soutien psychosocial seront fournis aux personnes affectées dans les zones ciblées. Ces activités renforceront ainsi le TopUp du SPA sur les pertes et dommages au Niger.</w:t>
      </w:r>
      <w:r>
        <w:rPr>
          <w:rFonts w:ascii="Calibri" w:eastAsia="Calibri" w:hAnsi="Calibri" w:cs="Calibri"/>
          <w:sz w:val="17"/>
        </w:rPr>
        <w:t xml:space="preserve"> </w:t>
      </w:r>
      <w:r>
        <w:t xml:space="preserve">Le SPA dans les deux pays est élaboré en synergie avec la seule subvention PRECO (2021-2024) financée par Danida.  Le projet contribue à la protection et à la résilience des </w:t>
      </w:r>
    </w:p>
    <w:p w:rsidR="007B5DB9" w:rsidRDefault="00000000">
      <w:pPr>
        <w:spacing w:line="259" w:lineRule="auto"/>
        <w:ind w:left="0" w:firstLine="0"/>
        <w:jc w:val="left"/>
      </w:pPr>
      <w:r>
        <w:rPr>
          <w:rFonts w:ascii="Calibri" w:eastAsia="Calibri" w:hAnsi="Calibri" w:cs="Calibri"/>
          <w:noProof/>
          <w:sz w:val="22"/>
        </w:rPr>
        <mc:AlternateContent>
          <mc:Choice Requires="wpg">
            <w:drawing>
              <wp:inline distT="0" distB="0" distL="0" distR="0">
                <wp:extent cx="1829054" cy="7620"/>
                <wp:effectExtent l="0" t="0" r="0" b="0"/>
                <wp:docPr id="5570" name="Group 557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807" name="Shape 580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0" style="width:144.02pt;height:0.599976pt;mso-position-horizontal-relative:char;mso-position-vertical-relative:line" coordsize="18290,76">
                <v:shape id="Shape 580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17"/>
        </w:rPr>
        <w:t xml:space="preserve"> </w:t>
      </w:r>
    </w:p>
    <w:p w:rsidR="007B5DB9" w:rsidRDefault="00000000">
      <w:pPr>
        <w:spacing w:line="259" w:lineRule="auto"/>
        <w:ind w:left="0" w:firstLine="0"/>
        <w:jc w:val="left"/>
      </w:pPr>
      <w:r>
        <w:rPr>
          <w:sz w:val="20"/>
          <w:vertAlign w:val="superscript"/>
        </w:rPr>
        <w:t>3</w:t>
      </w:r>
      <w:r>
        <w:rPr>
          <w:sz w:val="20"/>
        </w:rPr>
        <w:t xml:space="preserve"> </w:t>
      </w:r>
      <w:r>
        <w:rPr>
          <w:rFonts w:ascii="Verdana" w:eastAsia="Verdana" w:hAnsi="Verdana" w:cs="Verdana"/>
          <w:sz w:val="16"/>
        </w:rPr>
        <w:t>3</w:t>
      </w:r>
      <w:hyperlink r:id="rId7" w:anchor=":~:text=What%20is%20a%20Humanitarian%20Service,they%20are%20on%20their%20journeys.">
        <w:r>
          <w:rPr>
            <w:sz w:val="20"/>
          </w:rPr>
          <w:t xml:space="preserve"> </w:t>
        </w:r>
      </w:hyperlink>
      <w:hyperlink r:id="rId8" w:anchor=":~:text=What%20is%20a%20Humanitarian%20Service,they%20are%20on%20their%20journeys.">
        <w:r>
          <w:rPr>
            <w:color w:val="0000FF"/>
            <w:sz w:val="20"/>
            <w:u w:val="single" w:color="0000FF"/>
          </w:rPr>
          <w:t>Humanitarian Service Points | IFRC</w:t>
        </w:r>
      </w:hyperlink>
      <w:hyperlink r:id="rId9" w:anchor=":~:text=What%20is%20a%20Humanitarian%20Service,they%20are%20on%20their%20journeys.">
        <w:r>
          <w:rPr>
            <w:sz w:val="20"/>
          </w:rPr>
          <w:t xml:space="preserve"> </w:t>
        </w:r>
      </w:hyperlink>
      <w:r>
        <w:rPr>
          <w:sz w:val="20"/>
        </w:rPr>
        <w:t xml:space="preserve"> </w:t>
      </w:r>
    </w:p>
    <w:p w:rsidR="007B5DB9" w:rsidRDefault="00000000">
      <w:pPr>
        <w:spacing w:after="168"/>
        <w:ind w:left="-5" w:right="-10"/>
      </w:pPr>
      <w:r>
        <w:t xml:space="preserve">personnes déplacées et des communautés d'accueil en situation de vulnérabilité à travers l'assistance humanitaire et des solutions inclusives durables pour leurs moyens de subsistance et la cohésion sociale. Le financement de la Coopération belge au développement (CBD), dans les trois pays, renforce les synergies en matière d'assistance humanitaire et de protection. </w:t>
      </w:r>
    </w:p>
    <w:p w:rsidR="007B5DB9" w:rsidRDefault="00000000">
      <w:pPr>
        <w:spacing w:line="259" w:lineRule="auto"/>
        <w:ind w:left="0" w:firstLine="0"/>
        <w:jc w:val="left"/>
      </w:pPr>
      <w:r>
        <w:t xml:space="preserve"> </w:t>
      </w:r>
    </w:p>
    <w:sectPr w:rsidR="007B5DB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334" w:right="715" w:bottom="1107" w:left="720" w:header="48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735E" w:rsidRDefault="0018735E">
      <w:pPr>
        <w:spacing w:line="240" w:lineRule="auto"/>
      </w:pPr>
      <w:r>
        <w:separator/>
      </w:r>
    </w:p>
  </w:endnote>
  <w:endnote w:type="continuationSeparator" w:id="0">
    <w:p w:rsidR="0018735E" w:rsidRDefault="0018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B9" w:rsidRDefault="00000000">
    <w:pPr>
      <w:spacing w:line="259" w:lineRule="auto"/>
      <w:ind w:left="0" w:right="2" w:firstLine="0"/>
      <w:jc w:val="center"/>
    </w:pPr>
    <w:r>
      <w:fldChar w:fldCharType="begin"/>
    </w:r>
    <w:r>
      <w:instrText xml:space="preserve"> PAGE   \* MERGEFORMAT </w:instrText>
    </w:r>
    <w:r>
      <w:fldChar w:fldCharType="separate"/>
    </w:r>
    <w:r>
      <w:rPr>
        <w:sz w:val="17"/>
      </w:rPr>
      <w:t>1</w:t>
    </w:r>
    <w:r>
      <w:rPr>
        <w:sz w:val="17"/>
      </w:rPr>
      <w:fldChar w:fldCharType="end"/>
    </w:r>
    <w:r>
      <w:rPr>
        <w:sz w:val="17"/>
      </w:rPr>
      <w:t xml:space="preserve"> </w:t>
    </w:r>
  </w:p>
  <w:p w:rsidR="007B5DB9" w:rsidRDefault="00000000">
    <w:pPr>
      <w:spacing w:line="259" w:lineRule="auto"/>
      <w:ind w:left="0" w:firstLine="0"/>
      <w:jc w:val="left"/>
    </w:pPr>
    <w:r>
      <w:rPr>
        <w:rFonts w:ascii="Calibri" w:eastAsia="Calibri" w:hAnsi="Calibri" w:cs="Calibri"/>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B9" w:rsidRDefault="00000000">
    <w:pPr>
      <w:spacing w:line="259" w:lineRule="auto"/>
      <w:ind w:left="0" w:right="2" w:firstLine="0"/>
      <w:jc w:val="center"/>
    </w:pPr>
    <w:r>
      <w:fldChar w:fldCharType="begin"/>
    </w:r>
    <w:r>
      <w:instrText xml:space="preserve"> PAGE   \* MERGEFORMAT </w:instrText>
    </w:r>
    <w:r>
      <w:fldChar w:fldCharType="separate"/>
    </w:r>
    <w:r>
      <w:rPr>
        <w:sz w:val="17"/>
      </w:rPr>
      <w:t>1</w:t>
    </w:r>
    <w:r>
      <w:rPr>
        <w:sz w:val="17"/>
      </w:rPr>
      <w:fldChar w:fldCharType="end"/>
    </w:r>
    <w:r>
      <w:rPr>
        <w:sz w:val="17"/>
      </w:rPr>
      <w:t xml:space="preserve"> </w:t>
    </w:r>
  </w:p>
  <w:p w:rsidR="007B5DB9" w:rsidRDefault="00000000">
    <w:pPr>
      <w:spacing w:line="259" w:lineRule="auto"/>
      <w:ind w:left="0" w:firstLine="0"/>
      <w:jc w:val="left"/>
    </w:pPr>
    <w:r>
      <w:rPr>
        <w:rFonts w:ascii="Calibri" w:eastAsia="Calibri" w:hAnsi="Calibri" w:cs="Calibri"/>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B9" w:rsidRDefault="00000000">
    <w:pPr>
      <w:spacing w:line="259" w:lineRule="auto"/>
      <w:ind w:left="0" w:right="2" w:firstLine="0"/>
      <w:jc w:val="center"/>
    </w:pPr>
    <w:r>
      <w:fldChar w:fldCharType="begin"/>
    </w:r>
    <w:r>
      <w:instrText xml:space="preserve"> PAGE   \* MERGEFORMAT </w:instrText>
    </w:r>
    <w:r>
      <w:fldChar w:fldCharType="separate"/>
    </w:r>
    <w:r>
      <w:rPr>
        <w:sz w:val="17"/>
      </w:rPr>
      <w:t>1</w:t>
    </w:r>
    <w:r>
      <w:rPr>
        <w:sz w:val="17"/>
      </w:rPr>
      <w:fldChar w:fldCharType="end"/>
    </w:r>
    <w:r>
      <w:rPr>
        <w:sz w:val="17"/>
      </w:rPr>
      <w:t xml:space="preserve"> </w:t>
    </w:r>
  </w:p>
  <w:p w:rsidR="007B5DB9" w:rsidRDefault="00000000">
    <w:pPr>
      <w:spacing w:line="259" w:lineRule="auto"/>
      <w:ind w:left="0" w:firstLine="0"/>
      <w:jc w:val="left"/>
    </w:pPr>
    <w:r>
      <w:rPr>
        <w:rFonts w:ascii="Calibri" w:eastAsia="Calibri" w:hAnsi="Calibri" w:cs="Calibri"/>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735E" w:rsidRDefault="0018735E">
      <w:pPr>
        <w:spacing w:line="246" w:lineRule="auto"/>
        <w:ind w:left="0" w:right="3040" w:firstLine="0"/>
        <w:jc w:val="left"/>
      </w:pPr>
      <w:r>
        <w:separator/>
      </w:r>
    </w:p>
  </w:footnote>
  <w:footnote w:type="continuationSeparator" w:id="0">
    <w:p w:rsidR="0018735E" w:rsidRDefault="0018735E">
      <w:pPr>
        <w:spacing w:line="246" w:lineRule="auto"/>
        <w:ind w:left="0" w:right="3040" w:firstLine="0"/>
        <w:jc w:val="left"/>
      </w:pPr>
      <w:r>
        <w:continuationSeparator/>
      </w:r>
    </w:p>
  </w:footnote>
  <w:footnote w:id="1">
    <w:p w:rsidR="007B5DB9" w:rsidRDefault="00000000">
      <w:pPr>
        <w:pStyle w:val="footnotedescription"/>
      </w:pPr>
      <w:r>
        <w:rPr>
          <w:rStyle w:val="footnotemark"/>
        </w:rPr>
        <w:footnoteRef/>
      </w:r>
      <w:r>
        <w:t xml:space="preserve"> </w:t>
      </w:r>
      <w:r>
        <w:rPr>
          <w:color w:val="000000"/>
          <w:u w:val="none" w:color="000000"/>
        </w:rPr>
        <w:t>Norwegian Refugees Council</w:t>
      </w:r>
      <w:hyperlink r:id="rId1">
        <w:r>
          <w:rPr>
            <w:color w:val="000000"/>
            <w:u w:val="none" w:color="000000"/>
          </w:rPr>
          <w:t xml:space="preserve"> </w:t>
        </w:r>
      </w:hyperlink>
      <w:hyperlink r:id="rId2">
        <w:r>
          <w:t>The world's most neglected displacement crises in 2022 | NRC</w:t>
        </w:r>
      </w:hyperlink>
      <w:hyperlink r:id="rId3">
        <w:r>
          <w:rPr>
            <w:color w:val="000000"/>
            <w:u w:val="none" w:color="000000"/>
          </w:rPr>
          <w:t xml:space="preserve"> </w:t>
        </w:r>
      </w:hyperlink>
      <w:r>
        <w:rPr>
          <w:color w:val="000000"/>
          <w:u w:val="none" w:color="000000"/>
          <w:vertAlign w:val="superscript"/>
        </w:rPr>
        <w:t>2</w:t>
      </w:r>
      <w:r>
        <w:rPr>
          <w:color w:val="000000"/>
          <w:u w:val="none" w:color="000000"/>
        </w:rPr>
        <w:t xml:space="preserve"> </w:t>
      </w:r>
      <w:r>
        <w:rPr>
          <w:rFonts w:ascii="Verdana" w:eastAsia="Verdana" w:hAnsi="Verdana" w:cs="Verdana"/>
          <w:color w:val="000000"/>
          <w:sz w:val="16"/>
          <w:u w:val="none" w:color="000000"/>
        </w:rPr>
        <w:t>2</w:t>
      </w:r>
      <w:hyperlink r:id="rId4">
        <w:r>
          <w:rPr>
            <w:color w:val="000000"/>
            <w:u w:val="none" w:color="000000"/>
          </w:rPr>
          <w:t xml:space="preserve"> </w:t>
        </w:r>
      </w:hyperlink>
      <w:hyperlink r:id="rId5">
        <w:r>
          <w:t>Homepage | Humanitarian Action</w:t>
        </w:r>
      </w:hyperlink>
      <w:hyperlink r:id="rId6">
        <w:r>
          <w:rPr>
            <w:color w:val="000000"/>
            <w:u w:val="none" w:color="000000"/>
          </w:rPr>
          <w:t xml:space="preserve"> </w:t>
        </w:r>
      </w:hyperlink>
      <w:r>
        <w:rPr>
          <w:color w:val="000000"/>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B9" w:rsidRDefault="00000000">
    <w:pPr>
      <w:spacing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297180</wp:posOffset>
          </wp:positionH>
          <wp:positionV relativeFrom="page">
            <wp:posOffset>308610</wp:posOffset>
          </wp:positionV>
          <wp:extent cx="1755140" cy="3962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55140" cy="396240"/>
                  </a:xfrm>
                  <a:prstGeom prst="rect">
                    <a:avLst/>
                  </a:prstGeom>
                </pic:spPr>
              </pic:pic>
            </a:graphicData>
          </a:graphic>
        </wp:anchor>
      </w:drawing>
    </w:r>
    <w:r>
      <w:rPr>
        <w:rFonts w:ascii="Calibri" w:eastAsia="Calibri" w:hAnsi="Calibri" w:cs="Calibri"/>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B9" w:rsidRDefault="00000000">
    <w:pPr>
      <w:spacing w:line="259" w:lineRule="auto"/>
      <w:ind w:left="0" w:firstLine="0"/>
      <w:jc w:val="left"/>
    </w:pPr>
    <w:r>
      <w:rPr>
        <w:rFonts w:ascii="Calibri" w:eastAsia="Calibri" w:hAnsi="Calibri" w:cs="Calibri"/>
        <w:sz w:val="17"/>
      </w:rPr>
      <w:t xml:space="preserve"> </w:t>
    </w:r>
    <w:r w:rsidR="00505655">
      <w:rPr>
        <w:b/>
        <w:noProof/>
        <w:sz w:val="28"/>
        <w:szCs w:val="28"/>
      </w:rPr>
      <w:drawing>
        <wp:inline distT="0" distB="0" distL="0" distR="0" wp14:anchorId="7B733604" wp14:editId="0DEC2770">
          <wp:extent cx="774166" cy="952500"/>
          <wp:effectExtent l="0" t="0" r="6985" b="0"/>
          <wp:docPr id="2" name="Image 5"/>
          <wp:cNvGraphicFramePr/>
          <a:graphic xmlns:a="http://schemas.openxmlformats.org/drawingml/2006/main">
            <a:graphicData uri="http://schemas.openxmlformats.org/drawingml/2006/picture">
              <pic:pic xmlns:pic="http://schemas.openxmlformats.org/drawingml/2006/picture">
                <pic:nvPicPr>
                  <pic:cNvPr id="1" name="Image 5"/>
                  <pic:cNvPicPr/>
                </pic:nvPicPr>
                <pic:blipFill>
                  <a:blip r:embed="rId1"/>
                  <a:srcRect/>
                  <a:stretch>
                    <a:fillRect/>
                  </a:stretch>
                </pic:blipFill>
                <pic:spPr>
                  <a:xfrm rot="10800000" flipV="1">
                    <a:off x="0" y="0"/>
                    <a:ext cx="776814" cy="955758"/>
                  </a:xfrm>
                  <a:prstGeom prst="rect">
                    <a:avLst/>
                  </a:prstGeom>
                  <a:noFill/>
                  <a:ln>
                    <a:noFill/>
                    <a:prstDash val="soli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B9" w:rsidRDefault="00000000">
    <w:pPr>
      <w:spacing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297180</wp:posOffset>
          </wp:positionH>
          <wp:positionV relativeFrom="page">
            <wp:posOffset>308610</wp:posOffset>
          </wp:positionV>
          <wp:extent cx="1755140" cy="396240"/>
          <wp:effectExtent l="0" t="0" r="0" b="0"/>
          <wp:wrapSquare wrapText="bothSides"/>
          <wp:docPr id="143098433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55140" cy="396240"/>
                  </a:xfrm>
                  <a:prstGeom prst="rect">
                    <a:avLst/>
                  </a:prstGeom>
                </pic:spPr>
              </pic:pic>
            </a:graphicData>
          </a:graphic>
        </wp:anchor>
      </w:drawing>
    </w:r>
    <w:r>
      <w:rPr>
        <w:rFonts w:ascii="Calibri" w:eastAsia="Calibri" w:hAnsi="Calibri" w:cs="Calibri"/>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758F3"/>
    <w:multiLevelType w:val="hybridMultilevel"/>
    <w:tmpl w:val="59AEF7FC"/>
    <w:lvl w:ilvl="0" w:tplc="364415E6">
      <w:start w:val="1"/>
      <w:numFmt w:val="decimal"/>
      <w:lvlText w:val="%1."/>
      <w:lvlJc w:val="left"/>
      <w:pPr>
        <w:ind w:left="1289"/>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1" w:tplc="6AB4D82A">
      <w:start w:val="1"/>
      <w:numFmt w:val="lowerLetter"/>
      <w:lvlText w:val="%2"/>
      <w:lvlJc w:val="left"/>
      <w:pPr>
        <w:ind w:left="144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2" w:tplc="49802D5C">
      <w:start w:val="1"/>
      <w:numFmt w:val="lowerRoman"/>
      <w:lvlText w:val="%3"/>
      <w:lvlJc w:val="left"/>
      <w:pPr>
        <w:ind w:left="216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3" w:tplc="6824BF8C">
      <w:start w:val="1"/>
      <w:numFmt w:val="decimal"/>
      <w:lvlText w:val="%4"/>
      <w:lvlJc w:val="left"/>
      <w:pPr>
        <w:ind w:left="288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4" w:tplc="FF0026C2">
      <w:start w:val="1"/>
      <w:numFmt w:val="lowerLetter"/>
      <w:lvlText w:val="%5"/>
      <w:lvlJc w:val="left"/>
      <w:pPr>
        <w:ind w:left="360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5" w:tplc="5A04B774">
      <w:start w:val="1"/>
      <w:numFmt w:val="lowerRoman"/>
      <w:lvlText w:val="%6"/>
      <w:lvlJc w:val="left"/>
      <w:pPr>
        <w:ind w:left="432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6" w:tplc="684CBC72">
      <w:start w:val="1"/>
      <w:numFmt w:val="decimal"/>
      <w:lvlText w:val="%7"/>
      <w:lvlJc w:val="left"/>
      <w:pPr>
        <w:ind w:left="504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7" w:tplc="DD603E8C">
      <w:start w:val="1"/>
      <w:numFmt w:val="lowerLetter"/>
      <w:lvlText w:val="%8"/>
      <w:lvlJc w:val="left"/>
      <w:pPr>
        <w:ind w:left="576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8" w:tplc="EB248020">
      <w:start w:val="1"/>
      <w:numFmt w:val="lowerRoman"/>
      <w:lvlText w:val="%9"/>
      <w:lvlJc w:val="left"/>
      <w:pPr>
        <w:ind w:left="648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abstractNum>
  <w:num w:numId="1" w16cid:durableId="211262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B9"/>
    <w:rsid w:val="0018735E"/>
    <w:rsid w:val="00505655"/>
    <w:rsid w:val="00720EE8"/>
    <w:rsid w:val="007B5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71B5"/>
  <w15:docId w15:val="{E93F9E01-5DC7-4FE8-BD4E-54712900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7" w:lineRule="auto"/>
      <w:ind w:left="10" w:hanging="10"/>
      <w:jc w:val="both"/>
    </w:pPr>
    <w:rPr>
      <w:rFonts w:ascii="Garamond" w:eastAsia="Garamond" w:hAnsi="Garamond" w:cs="Garamond"/>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line="246" w:lineRule="auto"/>
      <w:ind w:right="3040"/>
    </w:pPr>
    <w:rPr>
      <w:rFonts w:ascii="Garamond" w:eastAsia="Garamond" w:hAnsi="Garamond" w:cs="Garamond"/>
      <w:color w:val="0000FF"/>
      <w:sz w:val="20"/>
      <w:u w:val="single" w:color="0000FF"/>
    </w:rPr>
  </w:style>
  <w:style w:type="character" w:customStyle="1" w:styleId="footnotedescriptionChar">
    <w:name w:val="footnote description Char"/>
    <w:link w:val="footnotedescription"/>
    <w:rPr>
      <w:rFonts w:ascii="Garamond" w:eastAsia="Garamond" w:hAnsi="Garamond" w:cs="Garamond"/>
      <w:color w:val="0000FF"/>
      <w:sz w:val="20"/>
      <w:u w:val="single" w:color="0000FF"/>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frc.org/our-work/disasters-climate-and-crises/migration-and-displacement/programmes/H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frc.org/our-work/disasters-climate-and-crises/migration-and-displacement/programmes/H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rc.org/our-work/disasters-climate-and-crises/migration-and-displacement/programmes/HSP"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rc.no/the-worlds-most-neglected-displacement-crises-in-2022/" TargetMode="External"/><Relationship Id="rId2" Type="http://schemas.openxmlformats.org/officeDocument/2006/relationships/hyperlink" Target="https://www.nrc.no/the-worlds-most-neglected-displacement-crises-in-2022/" TargetMode="External"/><Relationship Id="rId1" Type="http://schemas.openxmlformats.org/officeDocument/2006/relationships/hyperlink" Target="https://www.nrc.no/the-worlds-most-neglected-displacement-crises-in-2022/" TargetMode="External"/><Relationship Id="rId6" Type="http://schemas.openxmlformats.org/officeDocument/2006/relationships/hyperlink" Target="https://humanitarianaction.info/" TargetMode="External"/><Relationship Id="rId5" Type="http://schemas.openxmlformats.org/officeDocument/2006/relationships/hyperlink" Target="https://humanitarianaction.info/" TargetMode="External"/><Relationship Id="rId4" Type="http://schemas.openxmlformats.org/officeDocument/2006/relationships/hyperlink" Target="https://humanitarianaction.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1259</Words>
  <Characters>6927</Characters>
  <Application>Microsoft Office Word</Application>
  <DocSecurity>0</DocSecurity>
  <Lines>57</Lines>
  <Paragraphs>16</Paragraphs>
  <ScaleCrop>false</ScaleCrop>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Kronborg Sørensen</dc:creator>
  <cp:keywords/>
  <cp:lastModifiedBy>Moussa Magazi Moumouni</cp:lastModifiedBy>
  <cp:revision>2</cp:revision>
  <dcterms:created xsi:type="dcterms:W3CDTF">2024-06-14T10:18:00Z</dcterms:created>
  <dcterms:modified xsi:type="dcterms:W3CDTF">2024-06-14T10:18:00Z</dcterms:modified>
</cp:coreProperties>
</file>