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A51C" w14:textId="258A8772" w:rsidR="004E7F0E" w:rsidRPr="00585775" w:rsidRDefault="004E7F0E" w:rsidP="006620C0">
      <w:pPr>
        <w:jc w:val="center"/>
        <w:rPr>
          <w:rFonts w:cstheme="minorHAnsi"/>
          <w:b/>
          <w:bCs/>
        </w:rPr>
      </w:pPr>
    </w:p>
    <w:p w14:paraId="72E2602E" w14:textId="6550B008" w:rsidR="00E31769" w:rsidRDefault="00E31769">
      <w:pPr>
        <w:rPr>
          <w:rFonts w:eastAsiaTheme="majorEastAsia" w:cstheme="minorHAnsi"/>
          <w:color w:val="2F5496" w:themeColor="accent1" w:themeShade="BF"/>
        </w:rPr>
      </w:pPr>
      <w:bookmarkStart w:id="0" w:name="_Hlk97649666"/>
    </w:p>
    <w:p w14:paraId="5292F9B4" w14:textId="254A2B7C" w:rsidR="00E157EC" w:rsidRPr="00E157EC" w:rsidRDefault="00E157EC" w:rsidP="00E157EC">
      <w:pPr>
        <w:pStyle w:val="Heading1"/>
        <w:numPr>
          <w:ilvl w:val="0"/>
          <w:numId w:val="0"/>
        </w:numPr>
        <w:rPr>
          <w:rFonts w:asciiTheme="minorHAnsi" w:hAnsiTheme="minorHAnsi" w:cstheme="minorHAnsi"/>
          <w:sz w:val="22"/>
          <w:szCs w:val="22"/>
        </w:rPr>
      </w:pPr>
      <w:r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43625DAB" w:rsidR="009368D6" w:rsidRPr="009D0066" w:rsidRDefault="007A594A" w:rsidP="002177CD">
            <w:pPr>
              <w:spacing w:after="120"/>
              <w:contextualSpacing/>
              <w:jc w:val="both"/>
              <w:rPr>
                <w:rFonts w:cstheme="minorHAnsi"/>
              </w:rPr>
            </w:pPr>
            <w:r>
              <w:rPr>
                <w:rFonts w:cstheme="minorHAnsi"/>
              </w:rPr>
              <w:t xml:space="preserve">Sanjeev </w:t>
            </w:r>
            <w:proofErr w:type="spellStart"/>
            <w:r>
              <w:rPr>
                <w:rFonts w:cstheme="minorHAnsi"/>
              </w:rPr>
              <w:t>Sridharan</w:t>
            </w:r>
            <w:proofErr w:type="spellEnd"/>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3DA3923E" w:rsidR="009368D6" w:rsidRPr="009D0066" w:rsidRDefault="007A594A" w:rsidP="002177CD">
            <w:pPr>
              <w:spacing w:after="120"/>
              <w:contextualSpacing/>
              <w:jc w:val="both"/>
              <w:rPr>
                <w:rFonts w:cstheme="minorHAnsi"/>
              </w:rPr>
            </w:pPr>
            <w:bookmarkStart w:id="1" w:name="_GoBack"/>
            <w:bookmarkEnd w:id="1"/>
            <w:r>
              <w:rPr>
                <w:rFonts w:cstheme="minorHAnsi"/>
              </w:rPr>
              <w:t>USA</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53B5DAFF" w:rsidR="008350D6" w:rsidRPr="009D0066" w:rsidRDefault="007A594A" w:rsidP="002177CD">
            <w:pPr>
              <w:spacing w:after="120"/>
              <w:contextualSpacing/>
              <w:jc w:val="both"/>
              <w:rPr>
                <w:rFonts w:cstheme="minorHAnsi"/>
              </w:rPr>
            </w:pPr>
            <w:r>
              <w:rPr>
                <w:rFonts w:cstheme="minorHAnsi"/>
              </w:rPr>
              <w:t>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7824F01C" w:rsidR="009368D6" w:rsidRPr="009D0066" w:rsidRDefault="007A594A" w:rsidP="002177CD">
            <w:pPr>
              <w:spacing w:after="120"/>
              <w:contextualSpacing/>
              <w:jc w:val="both"/>
              <w:rPr>
                <w:rFonts w:cstheme="minorHAnsi"/>
              </w:rPr>
            </w:pPr>
            <w:r>
              <w:rPr>
                <w:rFonts w:cstheme="minorHAnsi"/>
              </w:rPr>
              <w:t>USA</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428365D1" w:rsidR="009368D6" w:rsidRPr="009D0066" w:rsidRDefault="007A594A" w:rsidP="002177CD">
            <w:pPr>
              <w:spacing w:after="120"/>
              <w:contextualSpacing/>
              <w:jc w:val="both"/>
              <w:rPr>
                <w:rFonts w:cstheme="minorHAnsi"/>
              </w:rPr>
            </w:pPr>
            <w:r>
              <w:rPr>
                <w:rFonts w:cstheme="minorHAnsi"/>
              </w:rPr>
              <w:t xml:space="preserve">University of </w:t>
            </w:r>
            <w:proofErr w:type="spellStart"/>
            <w:r>
              <w:rPr>
                <w:rFonts w:cstheme="minorHAnsi"/>
              </w:rPr>
              <w:t>Hawai’I</w:t>
            </w:r>
            <w:proofErr w:type="spellEnd"/>
            <w:r>
              <w:rPr>
                <w:rFonts w:cstheme="minorHAnsi"/>
              </w:rPr>
              <w:t xml:space="preserve"> at Manoa</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38E166A1" w14:textId="6646C412" w:rsidR="009368D6" w:rsidRDefault="007A594A" w:rsidP="002177CD">
            <w:pPr>
              <w:spacing w:after="120"/>
              <w:contextualSpacing/>
              <w:jc w:val="both"/>
              <w:rPr>
                <w:rFonts w:cstheme="minorHAnsi"/>
              </w:rPr>
            </w:pPr>
            <w:hyperlink r:id="rId11" w:history="1">
              <w:r w:rsidRPr="008D2632">
                <w:rPr>
                  <w:rStyle w:val="Hyperlink"/>
                  <w:rFonts w:cstheme="minorHAnsi"/>
                </w:rPr>
                <w:t>sanjeev@hawaii.edu</w:t>
              </w:r>
            </w:hyperlink>
          </w:p>
          <w:p w14:paraId="2BBB6AC2" w14:textId="31AEEED5" w:rsidR="007A594A" w:rsidRPr="009D0066" w:rsidRDefault="007A594A" w:rsidP="002177CD">
            <w:pPr>
              <w:spacing w:after="120"/>
              <w:contextualSpacing/>
              <w:jc w:val="both"/>
              <w:rPr>
                <w:rFonts w:cstheme="minorHAnsi"/>
              </w:rPr>
            </w:pPr>
            <w:r>
              <w:rPr>
                <w:rFonts w:cstheme="minorHAnsi"/>
              </w:rPr>
              <w:t>+1 808 670 0620</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5AA20BE0" w14:textId="77777777" w:rsidR="007A594A" w:rsidRPr="007A594A" w:rsidRDefault="007A594A" w:rsidP="007A594A">
            <w:pPr>
              <w:pStyle w:val="Title"/>
              <w:rPr>
                <w:rFonts w:asciiTheme="minorHAnsi" w:hAnsiTheme="minorHAnsi" w:cstheme="minorHAnsi"/>
                <w:sz w:val="24"/>
                <w:szCs w:val="24"/>
              </w:rPr>
            </w:pPr>
            <w:r w:rsidRPr="007A594A">
              <w:rPr>
                <w:rFonts w:asciiTheme="minorHAnsi" w:hAnsiTheme="minorHAnsi" w:cstheme="minorHAnsi"/>
                <w:sz w:val="24"/>
                <w:szCs w:val="24"/>
              </w:rPr>
              <w:t>Rethinking and Reshaping Evaluation Criteria: Lessons in Inclusion, Contexts and Culture from the Pacific Islands</w:t>
            </w:r>
          </w:p>
          <w:p w14:paraId="15AE8052" w14:textId="77777777" w:rsidR="007A594A" w:rsidRPr="007A594A" w:rsidRDefault="007A594A" w:rsidP="007A594A">
            <w:pPr>
              <w:rPr>
                <w:rFonts w:cstheme="minorHAnsi"/>
              </w:rPr>
            </w:pPr>
          </w:p>
          <w:p w14:paraId="441BB1B6" w14:textId="77777777" w:rsidR="009368D6" w:rsidRPr="009D0066" w:rsidRDefault="009368D6" w:rsidP="002177CD">
            <w:pPr>
              <w:spacing w:after="120"/>
              <w:contextualSpacing/>
              <w:jc w:val="both"/>
              <w:rPr>
                <w:rFonts w:cstheme="minorHAnsi"/>
              </w:rPr>
            </w:pP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0FE7992C" w:rsidR="009368D6" w:rsidRDefault="007A594A" w:rsidP="00993845">
            <w:pPr>
              <w:spacing w:after="120"/>
              <w:contextualSpacing/>
              <w:rPr>
                <w:rFonts w:cstheme="minorHAnsi"/>
              </w:rPr>
            </w:pPr>
            <w:r>
              <w:rPr>
                <w:rFonts w:cstheme="minorHAnsi"/>
              </w:rPr>
              <w:t>xxx</w:t>
            </w:r>
            <w:r w:rsidR="009368D6">
              <w:rPr>
                <w:rFonts w:cstheme="minorHAnsi"/>
              </w:rPr>
              <w:t xml:space="preserve"> </w:t>
            </w:r>
            <w:r w:rsidR="00BC1E41">
              <w:rPr>
                <w:rFonts w:cstheme="minorHAnsi"/>
              </w:rPr>
              <w:t xml:space="preserve">Stream B. </w:t>
            </w:r>
            <w:r w:rsidR="003E6831">
              <w:rPr>
                <w:rFonts w:cstheme="minorHAnsi"/>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416606DC" w14:textId="77777777" w:rsidR="009368D6" w:rsidRDefault="007A594A" w:rsidP="002177CD">
            <w:pPr>
              <w:spacing w:after="120"/>
              <w:contextualSpacing/>
              <w:jc w:val="both"/>
              <w:rPr>
                <w:rFonts w:cstheme="minorHAnsi"/>
              </w:rPr>
            </w:pPr>
            <w:r>
              <w:rPr>
                <w:rFonts w:cstheme="minorHAnsi"/>
              </w:rPr>
              <w:t xml:space="preserve">Sanjeev </w:t>
            </w:r>
            <w:proofErr w:type="spellStart"/>
            <w:r>
              <w:rPr>
                <w:rFonts w:cstheme="minorHAnsi"/>
              </w:rPr>
              <w:t>Sridharan</w:t>
            </w:r>
            <w:proofErr w:type="spellEnd"/>
          </w:p>
          <w:p w14:paraId="4C1CCE1D" w14:textId="77777777" w:rsidR="007A594A" w:rsidRDefault="007A594A" w:rsidP="002177CD">
            <w:pPr>
              <w:spacing w:after="120"/>
              <w:contextualSpacing/>
              <w:jc w:val="both"/>
              <w:rPr>
                <w:rFonts w:cstheme="minorHAnsi"/>
              </w:rPr>
            </w:pPr>
            <w:r>
              <w:rPr>
                <w:rFonts w:cstheme="minorHAnsi"/>
              </w:rPr>
              <w:t>Professor of Health Policy Evaluation</w:t>
            </w:r>
          </w:p>
          <w:p w14:paraId="2BA776DF" w14:textId="77777777" w:rsidR="007A594A" w:rsidRDefault="007A594A" w:rsidP="002177CD">
            <w:pPr>
              <w:spacing w:after="120"/>
              <w:contextualSpacing/>
              <w:jc w:val="both"/>
              <w:rPr>
                <w:rFonts w:cstheme="minorHAnsi"/>
              </w:rPr>
            </w:pPr>
            <w:r>
              <w:rPr>
                <w:rFonts w:cstheme="minorHAnsi"/>
              </w:rPr>
              <w:t xml:space="preserve">University of </w:t>
            </w:r>
            <w:proofErr w:type="spellStart"/>
            <w:r>
              <w:rPr>
                <w:rFonts w:cstheme="minorHAnsi"/>
              </w:rPr>
              <w:t>Hawai’I</w:t>
            </w:r>
            <w:proofErr w:type="spellEnd"/>
            <w:r>
              <w:rPr>
                <w:rFonts w:cstheme="minorHAnsi"/>
              </w:rPr>
              <w:t xml:space="preserve"> at Manoa</w:t>
            </w:r>
          </w:p>
          <w:p w14:paraId="51C721A5" w14:textId="57C13F55" w:rsidR="007A594A" w:rsidRPr="009D0066" w:rsidRDefault="007A594A" w:rsidP="002177CD">
            <w:pPr>
              <w:spacing w:after="120"/>
              <w:contextualSpacing/>
              <w:jc w:val="both"/>
              <w:rPr>
                <w:rFonts w:cstheme="minorHAnsi"/>
              </w:rPr>
            </w:pP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3C558E31" w:rsidR="009368D6" w:rsidRPr="009D0066" w:rsidRDefault="00FE59C6" w:rsidP="00797E83">
            <w:pPr>
              <w:pStyle w:val="CommentText"/>
              <w:ind w:left="0"/>
              <w:rPr>
                <w:rFonts w:cstheme="minorHAnsi"/>
                <w:sz w:val="22"/>
                <w:szCs w:val="22"/>
              </w:rPr>
            </w:pPr>
            <w:r>
              <w:rPr>
                <w:rFonts w:cstheme="minorHAnsi"/>
                <w:sz w:val="22"/>
                <w:szCs w:val="22"/>
              </w:rPr>
              <w:t>xx</w:t>
            </w:r>
            <w:r w:rsidR="009368D6" w:rsidRPr="009D0066">
              <w:rPr>
                <w:rFonts w:cstheme="minorHAnsi"/>
                <w:sz w:val="22"/>
                <w:szCs w:val="22"/>
              </w:rPr>
              <w:t xml:space="preserve"> Formal presentation (max</w:t>
            </w:r>
            <w:r w:rsidR="009368D6">
              <w:rPr>
                <w:rFonts w:cstheme="minorHAnsi"/>
                <w:sz w:val="22"/>
                <w:szCs w:val="22"/>
              </w:rPr>
              <w:t>imum</w:t>
            </w:r>
            <w:r w:rsidR="009368D6" w:rsidRPr="009D0066">
              <w:rPr>
                <w:rFonts w:cstheme="minorHAnsi"/>
                <w:sz w:val="22"/>
                <w:szCs w:val="22"/>
              </w:rPr>
              <w:t xml:space="preserve"> 1</w:t>
            </w:r>
            <w:r w:rsidR="00175EFE">
              <w:rPr>
                <w:rFonts w:cstheme="minorHAnsi"/>
                <w:sz w:val="22"/>
                <w:szCs w:val="22"/>
              </w:rPr>
              <w:t>0</w:t>
            </w:r>
            <w:r w:rsidR="009368D6" w:rsidRPr="009D0066">
              <w:rPr>
                <w:rFonts w:cstheme="minorHAnsi"/>
                <w:sz w:val="22"/>
                <w:szCs w:val="22"/>
              </w:rPr>
              <w:t xml:space="preserve"> minutes)</w:t>
            </w:r>
          </w:p>
          <w:p w14:paraId="4D402568" w14:textId="03A0D61B" w:rsidR="009368D6" w:rsidRPr="009D0066" w:rsidRDefault="007A594A" w:rsidP="00797E83">
            <w:pPr>
              <w:pStyle w:val="CommentText"/>
              <w:ind w:left="179" w:hanging="179"/>
              <w:rPr>
                <w:rFonts w:cstheme="minorHAnsi"/>
                <w:sz w:val="22"/>
                <w:szCs w:val="22"/>
              </w:rPr>
            </w:pPr>
            <w:r>
              <w:rPr>
                <w:rFonts w:cstheme="minorHAnsi"/>
                <w:sz w:val="22"/>
                <w:szCs w:val="22"/>
              </w:rPr>
              <w:t>xx</w:t>
            </w:r>
            <w:r w:rsidR="009368D6"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2B51E7C6" w:rsidR="009368D6" w:rsidRDefault="007A594A" w:rsidP="002177CD">
            <w:pPr>
              <w:pStyle w:val="CommentText"/>
              <w:rPr>
                <w:rFonts w:cstheme="minorHAnsi"/>
                <w:sz w:val="22"/>
                <w:szCs w:val="22"/>
              </w:rPr>
            </w:pPr>
            <w:r>
              <w:rPr>
                <w:rFonts w:cstheme="minorHAnsi"/>
                <w:sz w:val="22"/>
                <w:szCs w:val="22"/>
              </w:rPr>
              <w:t>xx</w:t>
            </w:r>
            <w:r w:rsidR="009368D6" w:rsidRPr="009D0066">
              <w:rPr>
                <w:rFonts w:cstheme="minorHAnsi"/>
                <w:sz w:val="22"/>
                <w:szCs w:val="22"/>
              </w:rPr>
              <w:t>□</w:t>
            </w:r>
            <w:r w:rsidR="009368D6">
              <w:rPr>
                <w:rFonts w:cstheme="minorHAnsi"/>
                <w:sz w:val="22"/>
                <w:szCs w:val="22"/>
              </w:rPr>
              <w:t xml:space="preserve"> Yes</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1BA47938" w:rsidR="009368D6" w:rsidRPr="009D0066" w:rsidRDefault="009368D6" w:rsidP="002177CD">
            <w:pPr>
              <w:pStyle w:val="CommentText"/>
              <w:rPr>
                <w:rFonts w:cstheme="minorHAnsi"/>
                <w:sz w:val="22"/>
                <w:szCs w:val="22"/>
              </w:rPr>
            </w:pPr>
            <w:r w:rsidRPr="009D0066">
              <w:rPr>
                <w:rFonts w:cstheme="minorHAnsi"/>
                <w:sz w:val="22"/>
                <w:szCs w:val="22"/>
              </w:rPr>
              <w:t>□</w:t>
            </w:r>
            <w:r w:rsidR="007A594A">
              <w:rPr>
                <w:rFonts w:cstheme="minorHAnsi"/>
                <w:sz w:val="22"/>
                <w:szCs w:val="22"/>
              </w:rPr>
              <w:t>xx</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71943D01" w14:textId="77777777" w:rsidR="00C4707F" w:rsidRDefault="00C4707F" w:rsidP="00C4707F">
            <w:pPr>
              <w:rPr>
                <w:rFonts w:cstheme="minorHAnsi"/>
              </w:rPr>
            </w:pPr>
          </w:p>
          <w:p w14:paraId="7E098D83" w14:textId="77777777" w:rsidR="00A83D96" w:rsidRDefault="007A594A" w:rsidP="007A594A">
            <w:r w:rsidRPr="0020199C">
              <w:t>Building on Patton's (2021) call for a more transformative evaluation approach, we raise reflective questions on the relationships between evaluation criteria and local contexts</w:t>
            </w:r>
            <w:r>
              <w:t xml:space="preserve"> </w:t>
            </w:r>
            <w:r w:rsidRPr="0020199C">
              <w:t xml:space="preserve">by learning from evaluations conducted in the Pacific Islands.   We </w:t>
            </w:r>
            <w:r>
              <w:t xml:space="preserve">seek to surface ideas from </w:t>
            </w:r>
            <w:r w:rsidRPr="0020199C">
              <w:t xml:space="preserve">evaluations conducted in the Pacific </w:t>
            </w:r>
            <w:r w:rsidRPr="00563A7E">
              <w:t xml:space="preserve">Islands that might help shape an agenda for future discussions on </w:t>
            </w:r>
            <w:r>
              <w:t xml:space="preserve">learning from </w:t>
            </w:r>
            <w:r w:rsidRPr="00563A7E">
              <w:t xml:space="preserve">evaluation criteria at the system-level. </w:t>
            </w:r>
            <w:r>
              <w:t xml:space="preserve"> </w:t>
            </w:r>
            <w:r w:rsidRPr="00563A7E">
              <w:t xml:space="preserve">Key </w:t>
            </w:r>
            <w:r>
              <w:t xml:space="preserve">areas of focus of the </w:t>
            </w:r>
            <w:r>
              <w:t>presentation</w:t>
            </w:r>
            <w:r w:rsidRPr="00563A7E">
              <w:t xml:space="preserve"> include</w:t>
            </w:r>
            <w:r>
              <w:t>:</w:t>
            </w:r>
            <w:r w:rsidRPr="00563A7E">
              <w:t xml:space="preserve"> </w:t>
            </w:r>
          </w:p>
          <w:p w14:paraId="048723DC" w14:textId="77777777" w:rsidR="00A83D96" w:rsidRDefault="00A83D96" w:rsidP="007A594A"/>
          <w:p w14:paraId="15B270EA" w14:textId="77777777" w:rsidR="00A83D96" w:rsidRPr="00A83D96" w:rsidRDefault="007A594A" w:rsidP="00A83D96">
            <w:pPr>
              <w:pStyle w:val="ListParagraph"/>
              <w:numPr>
                <w:ilvl w:val="0"/>
                <w:numId w:val="14"/>
              </w:numPr>
              <w:rPr>
                <w:b/>
              </w:rPr>
            </w:pPr>
            <w:r w:rsidRPr="00A83D96">
              <w:t>the need to define system-level capacities and how they can be sustained,</w:t>
            </w:r>
          </w:p>
          <w:p w14:paraId="0CE8E567" w14:textId="77777777" w:rsidR="00A83D96" w:rsidRPr="00A83D96" w:rsidRDefault="007A594A" w:rsidP="00A83D96">
            <w:pPr>
              <w:pStyle w:val="ListParagraph"/>
              <w:numPr>
                <w:ilvl w:val="0"/>
                <w:numId w:val="14"/>
              </w:numPr>
              <w:rPr>
                <w:b/>
              </w:rPr>
            </w:pPr>
            <w:r w:rsidRPr="00A83D96">
              <w:t xml:space="preserve"> the importance of clarifying models of system-level learning in a congested project landscape, </w:t>
            </w:r>
          </w:p>
          <w:p w14:paraId="061D77C9" w14:textId="77777777" w:rsidR="00A83D96" w:rsidRPr="00A83D96" w:rsidRDefault="007A594A" w:rsidP="00A83D96">
            <w:pPr>
              <w:pStyle w:val="ListParagraph"/>
              <w:numPr>
                <w:ilvl w:val="0"/>
                <w:numId w:val="14"/>
              </w:numPr>
              <w:rPr>
                <w:b/>
              </w:rPr>
            </w:pPr>
            <w:r w:rsidRPr="00A83D96">
              <w:t xml:space="preserve">the need for criteria for transformation, and the need to help organizations develop differentiated strategies. </w:t>
            </w:r>
          </w:p>
          <w:p w14:paraId="0FCB09C1" w14:textId="09D4F7CE" w:rsidR="007A594A" w:rsidRPr="00A83D96" w:rsidRDefault="007A594A" w:rsidP="00A83D96">
            <w:pPr>
              <w:rPr>
                <w:b/>
              </w:rPr>
            </w:pPr>
            <w:r w:rsidRPr="00A83D96">
              <w:t>The p</w:t>
            </w:r>
            <w:r w:rsidR="00A83D96">
              <w:t>resentation</w:t>
            </w:r>
            <w:r w:rsidRPr="00A83D96">
              <w:t xml:space="preserve"> raises questions to help plan and evaluate interventions and systems to promote contextually-sensitive practice and connect this to evaluation criteria. </w:t>
            </w:r>
            <w:r w:rsidRPr="00A83D96">
              <w:rPr>
                <w:lang w:val="en-CA"/>
              </w:rPr>
              <w:t xml:space="preserve">  </w:t>
            </w:r>
          </w:p>
          <w:p w14:paraId="7FB5F090" w14:textId="77777777" w:rsidR="00C4707F" w:rsidRDefault="00C4707F" w:rsidP="00C4707F">
            <w:pPr>
              <w:rPr>
                <w:rFonts w:cstheme="minorHAnsi"/>
              </w:rPr>
            </w:pPr>
          </w:p>
          <w:p w14:paraId="34EEC8B8" w14:textId="2E99B72F" w:rsidR="007A594A" w:rsidRPr="007A594A" w:rsidRDefault="007A594A" w:rsidP="007A594A">
            <w:pPr>
              <w:rPr>
                <w:rFonts w:cstheme="minorHAnsi"/>
              </w:rPr>
            </w:pPr>
            <w:r w:rsidRPr="007A594A">
              <w:rPr>
                <w:rFonts w:cstheme="minorHAnsi"/>
              </w:rPr>
              <w:t xml:space="preserve">Evaluation as a field has not always been sensitive to the heterogeneities of cultures and contexts; it has often preferred to focus on ‘best practices’ and universal truths, rather than on contextually-situated insights. There is a need for evaluation as a field to more seriously incorporate an understanding of contexts in valuing frameworks.  The </w:t>
            </w:r>
            <w:r w:rsidR="00FE59C6">
              <w:rPr>
                <w:rFonts w:cstheme="minorHAnsi"/>
              </w:rPr>
              <w:t xml:space="preserve">OECD DAC </w:t>
            </w:r>
            <w:r w:rsidRPr="007A594A">
              <w:rPr>
                <w:rFonts w:cstheme="minorHAnsi"/>
              </w:rPr>
              <w:t>criteria were refined in 2019 with a sixth criterion added – namely, coherence.  While such criteria have undoubtedly served as a reference, it is less clear whether they have served the learning needs of communities across contexts and geographies (</w:t>
            </w:r>
            <w:proofErr w:type="spellStart"/>
            <w:r w:rsidRPr="007A594A">
              <w:rPr>
                <w:rFonts w:cstheme="minorHAnsi"/>
              </w:rPr>
              <w:t>Ofir</w:t>
            </w:r>
            <w:proofErr w:type="spellEnd"/>
            <w:r w:rsidRPr="007A594A">
              <w:rPr>
                <w:rFonts w:cstheme="minorHAnsi"/>
              </w:rPr>
              <w:t xml:space="preserve">, 2017).   </w:t>
            </w:r>
          </w:p>
          <w:p w14:paraId="47970300" w14:textId="77777777" w:rsidR="007A594A" w:rsidRPr="007A594A" w:rsidRDefault="007A594A" w:rsidP="007A594A">
            <w:pPr>
              <w:rPr>
                <w:rFonts w:cstheme="minorHAnsi"/>
              </w:rPr>
            </w:pPr>
          </w:p>
          <w:p w14:paraId="075AEDC5" w14:textId="1C72C0F7" w:rsidR="007A594A" w:rsidRPr="007A594A" w:rsidRDefault="00A83D96" w:rsidP="007A594A">
            <w:pPr>
              <w:rPr>
                <w:rFonts w:cstheme="minorHAnsi"/>
              </w:rPr>
            </w:pPr>
            <w:r>
              <w:rPr>
                <w:rFonts w:cstheme="minorHAnsi"/>
              </w:rPr>
              <w:t xml:space="preserve">We </w:t>
            </w:r>
            <w:r w:rsidR="007A594A" w:rsidRPr="007A594A">
              <w:rPr>
                <w:rFonts w:cstheme="minorHAnsi"/>
              </w:rPr>
              <w:t xml:space="preserve">are interested in learning from evaluation reports from the Pacific Islands about the types of issues that can help us better understand the local context of the programming initiatives (and the connections of local context to evaluation criteria).  We review evaluations conducted in multiple Pacific Islands to explore what we can learn about invigorating dialogue around criteria. </w:t>
            </w:r>
          </w:p>
          <w:p w14:paraId="3B6AFA70" w14:textId="12167820" w:rsidR="007A594A" w:rsidRDefault="007A594A" w:rsidP="00A83D96">
            <w:pPr>
              <w:ind w:left="0"/>
              <w:rPr>
                <w:rFonts w:asciiTheme="majorHAnsi" w:hAnsiTheme="majorHAnsi" w:cstheme="majorHAnsi"/>
                <w:i/>
              </w:rPr>
            </w:pPr>
          </w:p>
          <w:p w14:paraId="1EE8BD8C" w14:textId="7F4B26B6" w:rsidR="00A83D96" w:rsidRPr="00A83D96" w:rsidRDefault="007A594A" w:rsidP="00A83D96">
            <w:pPr>
              <w:rPr>
                <w:rFonts w:asciiTheme="majorHAnsi" w:hAnsiTheme="majorHAnsi" w:cstheme="majorHAnsi"/>
                <w:i/>
              </w:rPr>
            </w:pPr>
            <w:r w:rsidRPr="007A594A">
              <w:rPr>
                <w:rFonts w:asciiTheme="majorHAnsi" w:hAnsiTheme="majorHAnsi" w:cstheme="majorHAnsi"/>
                <w:i/>
              </w:rPr>
              <w:t xml:space="preserve">Our view is that OECD DAC framework should be seen as a useful but incomplete framework of valuing. We need to embrace opportunities to learn from other cultures and broaden our views of valuing.  </w:t>
            </w:r>
            <w:r w:rsidR="00A83D96">
              <w:rPr>
                <w:rFonts w:asciiTheme="majorHAnsi" w:hAnsiTheme="majorHAnsi" w:cstheme="majorHAnsi"/>
                <w:i/>
              </w:rPr>
              <w:t xml:space="preserve"> </w:t>
            </w:r>
            <w:r w:rsidRPr="007A594A">
              <w:rPr>
                <w:rFonts w:asciiTheme="majorHAnsi" w:hAnsiTheme="majorHAnsi" w:cstheme="majorHAnsi"/>
                <w:lang w:val="en-CA"/>
              </w:rPr>
              <w:t xml:space="preserve">As an example of our ongoing work to consider ideas from another culture, </w:t>
            </w:r>
            <w:r w:rsidR="00FE59C6">
              <w:rPr>
                <w:rFonts w:asciiTheme="majorHAnsi" w:hAnsiTheme="majorHAnsi" w:cstheme="majorHAnsi"/>
                <w:lang w:val="en-CA"/>
              </w:rPr>
              <w:t xml:space="preserve">we will also discuss concepts </w:t>
            </w:r>
            <w:r w:rsidRPr="007A594A">
              <w:rPr>
                <w:rFonts w:asciiTheme="majorHAnsi" w:hAnsiTheme="majorHAnsi" w:cstheme="majorHAnsi"/>
                <w:lang w:val="en-CA"/>
              </w:rPr>
              <w:t>from Hawaiian epistemology</w:t>
            </w:r>
            <w:r w:rsidR="00FE59C6">
              <w:rPr>
                <w:rFonts w:asciiTheme="majorHAnsi" w:hAnsiTheme="majorHAnsi" w:cstheme="majorHAnsi"/>
                <w:lang w:val="en-CA"/>
              </w:rPr>
              <w:t xml:space="preserve"> that will describe other approaches to valuing that are more inclusive and more explicitly address challenges of varieties of discrimination including gender, disability etc</w:t>
            </w:r>
            <w:r w:rsidRPr="008F09EA">
              <w:rPr>
                <w:rFonts w:asciiTheme="majorHAnsi" w:eastAsia="Times New Roman" w:hAnsiTheme="majorHAnsi" w:cstheme="majorHAnsi"/>
                <w:lang w:val="en-CA"/>
              </w:rPr>
              <w:t xml:space="preserve">.  </w:t>
            </w:r>
            <w:r w:rsidR="00A83D96">
              <w:rPr>
                <w:rFonts w:asciiTheme="majorHAnsi" w:eastAsia="Times New Roman" w:hAnsiTheme="majorHAnsi" w:cstheme="majorHAnsi"/>
                <w:lang w:val="en-CA"/>
              </w:rPr>
              <w:t xml:space="preserve">  </w:t>
            </w:r>
            <w:r w:rsidR="00A83D96" w:rsidRPr="00A83D96">
              <w:rPr>
                <w:rFonts w:asciiTheme="majorHAnsi" w:eastAsia="Times New Roman" w:hAnsiTheme="majorHAnsi" w:cstheme="majorHAnsi"/>
                <w:lang w:val="en-CA"/>
              </w:rPr>
              <w:t xml:space="preserve">These concepts can be useful to keep evaluations accountable to communities. As an example of the rich language that is possible, consider the concept of </w:t>
            </w:r>
            <w:proofErr w:type="spellStart"/>
            <w:r w:rsidR="00A83D96" w:rsidRPr="00A83D96">
              <w:rPr>
                <w:rFonts w:asciiTheme="majorHAnsi" w:eastAsia="Times New Roman" w:hAnsiTheme="majorHAnsi" w:cstheme="majorHAnsi"/>
                <w:i/>
                <w:lang w:val="en-CA"/>
              </w:rPr>
              <w:t>ho’oponopono</w:t>
            </w:r>
            <w:proofErr w:type="spellEnd"/>
            <w:r w:rsidR="00A83D96" w:rsidRPr="00A83D96">
              <w:rPr>
                <w:rFonts w:asciiTheme="majorHAnsi" w:eastAsia="Times New Roman" w:hAnsiTheme="majorHAnsi" w:cstheme="majorHAnsi"/>
                <w:lang w:val="en-CA"/>
              </w:rPr>
              <w:t xml:space="preserve">.  This concept can help explore if the evaluation process contributes to the overall wellbeing and harmony of the community.   Many other concepts </w:t>
            </w:r>
            <w:r w:rsidR="00A83D96">
              <w:rPr>
                <w:rFonts w:asciiTheme="majorHAnsi" w:eastAsia="Times New Roman" w:hAnsiTheme="majorHAnsi" w:cstheme="majorHAnsi"/>
                <w:lang w:val="en-CA"/>
              </w:rPr>
              <w:t xml:space="preserve">from indigenous Hawai’ian epistemology </w:t>
            </w:r>
            <w:r w:rsidR="00A83D96" w:rsidRPr="00A83D96">
              <w:rPr>
                <w:rFonts w:asciiTheme="majorHAnsi" w:eastAsia="Times New Roman" w:hAnsiTheme="majorHAnsi" w:cstheme="majorHAnsi"/>
                <w:lang w:val="en-CA"/>
              </w:rPr>
              <w:t xml:space="preserve">will also be discussed   </w:t>
            </w:r>
          </w:p>
          <w:p w14:paraId="5EEFA91D" w14:textId="77777777" w:rsidR="007A594A" w:rsidRDefault="007A594A" w:rsidP="007A594A">
            <w:pPr>
              <w:rPr>
                <w:rFonts w:asciiTheme="majorHAnsi" w:hAnsiTheme="majorHAnsi" w:cstheme="majorHAnsi"/>
                <w:i/>
              </w:rPr>
            </w:pPr>
          </w:p>
          <w:p w14:paraId="675E130D" w14:textId="20E94A3F" w:rsidR="00A83D96" w:rsidRDefault="00A83D96" w:rsidP="00A83D96">
            <w:pPr>
              <w:ind w:left="0"/>
              <w:rPr>
                <w:rFonts w:asciiTheme="majorHAnsi" w:hAnsiTheme="majorHAnsi" w:cstheme="majorHAnsi"/>
              </w:rPr>
            </w:pPr>
            <w:r w:rsidRPr="008F09EA">
              <w:rPr>
                <w:rFonts w:asciiTheme="majorHAnsi" w:hAnsiTheme="majorHAnsi" w:cstheme="majorHAnsi"/>
              </w:rPr>
              <w:t xml:space="preserve">Important </w:t>
            </w:r>
            <w:proofErr w:type="gramStart"/>
            <w:r w:rsidRPr="008F09EA">
              <w:rPr>
                <w:rFonts w:asciiTheme="majorHAnsi" w:hAnsiTheme="majorHAnsi" w:cstheme="majorHAnsi"/>
              </w:rPr>
              <w:t xml:space="preserve">questions </w:t>
            </w:r>
            <w:r>
              <w:rPr>
                <w:rFonts w:asciiTheme="majorHAnsi" w:hAnsiTheme="majorHAnsi" w:cstheme="majorHAnsi"/>
              </w:rPr>
              <w:t xml:space="preserve"> </w:t>
            </w:r>
            <w:r>
              <w:rPr>
                <w:rFonts w:asciiTheme="majorHAnsi" w:hAnsiTheme="majorHAnsi" w:cstheme="majorHAnsi"/>
              </w:rPr>
              <w:t>raised</w:t>
            </w:r>
            <w:proofErr w:type="gramEnd"/>
            <w:r>
              <w:rPr>
                <w:rFonts w:asciiTheme="majorHAnsi" w:hAnsiTheme="majorHAnsi" w:cstheme="majorHAnsi"/>
              </w:rPr>
              <w:t xml:space="preserve"> </w:t>
            </w:r>
            <w:proofErr w:type="spellStart"/>
            <w:r w:rsidRPr="008F09EA">
              <w:rPr>
                <w:rFonts w:asciiTheme="majorHAnsi" w:hAnsiTheme="majorHAnsi" w:cstheme="majorHAnsi"/>
              </w:rPr>
              <w:t>nclude</w:t>
            </w:r>
            <w:proofErr w:type="spellEnd"/>
            <w:r w:rsidRPr="008F09EA">
              <w:rPr>
                <w:rFonts w:asciiTheme="majorHAnsi" w:hAnsiTheme="majorHAnsi" w:cstheme="majorHAnsi"/>
              </w:rPr>
              <w:t xml:space="preserve">:  </w:t>
            </w:r>
            <w:r w:rsidRPr="008F09EA">
              <w:rPr>
                <w:rFonts w:asciiTheme="majorHAnsi" w:hAnsiTheme="majorHAnsi" w:cstheme="majorHAnsi"/>
                <w:i/>
              </w:rPr>
              <w:t xml:space="preserve">What is evaluation’s role to address the dire prognosis for islands like Palau? </w:t>
            </w:r>
            <w:r>
              <w:rPr>
                <w:rFonts w:asciiTheme="majorHAnsi" w:hAnsiTheme="majorHAnsi" w:cstheme="majorHAnsi"/>
                <w:i/>
              </w:rPr>
              <w:t xml:space="preserve"> </w:t>
            </w:r>
            <w:r w:rsidRPr="008F09EA">
              <w:rPr>
                <w:rFonts w:asciiTheme="majorHAnsi" w:hAnsiTheme="majorHAnsi" w:cstheme="majorHAnsi"/>
                <w:i/>
              </w:rPr>
              <w:t xml:space="preserve">How can thinking about evaluation criteria help shine a light on </w:t>
            </w:r>
            <w:r>
              <w:rPr>
                <w:rFonts w:asciiTheme="majorHAnsi" w:hAnsiTheme="majorHAnsi" w:cstheme="majorHAnsi"/>
                <w:i/>
              </w:rPr>
              <w:t xml:space="preserve">the </w:t>
            </w:r>
            <w:r w:rsidRPr="008F09EA">
              <w:rPr>
                <w:rFonts w:asciiTheme="majorHAnsi" w:hAnsiTheme="majorHAnsi" w:cstheme="majorHAnsi"/>
                <w:i/>
              </w:rPr>
              <w:t xml:space="preserve">capacities of multiple scales needed for systems to address problems like climate change?  Can criteria help shed light on the intersections of problems of health and climate? </w:t>
            </w:r>
            <w:r>
              <w:rPr>
                <w:rFonts w:asciiTheme="majorHAnsi" w:hAnsiTheme="majorHAnsi" w:cstheme="majorHAnsi"/>
                <w:i/>
              </w:rPr>
              <w:t xml:space="preserve"> </w:t>
            </w:r>
            <w:r w:rsidRPr="008F09EA">
              <w:rPr>
                <w:rFonts w:asciiTheme="majorHAnsi" w:hAnsiTheme="majorHAnsi" w:cstheme="majorHAnsi"/>
                <w:i/>
              </w:rPr>
              <w:t>Further, how can criteria help disrupt mutually reinforcing processes between climate change and worsening health?</w:t>
            </w:r>
            <w:r w:rsidRPr="008F09EA">
              <w:rPr>
                <w:rFonts w:asciiTheme="majorHAnsi" w:hAnsiTheme="majorHAnsi" w:cstheme="majorHAnsi"/>
              </w:rPr>
              <w:t xml:space="preserve"> </w:t>
            </w:r>
          </w:p>
          <w:p w14:paraId="5D01E666" w14:textId="77777777" w:rsidR="007A594A" w:rsidRDefault="007A594A" w:rsidP="00C4707F">
            <w:pPr>
              <w:rPr>
                <w:rFonts w:cstheme="minorHAnsi"/>
              </w:rPr>
            </w:pPr>
          </w:p>
          <w:p w14:paraId="3DD58BF3" w14:textId="77777777" w:rsidR="00C4707F" w:rsidRDefault="00C4707F" w:rsidP="00C4707F">
            <w:pPr>
              <w:rPr>
                <w:rFonts w:cstheme="minorHAnsi"/>
              </w:rPr>
            </w:pPr>
          </w:p>
          <w:p w14:paraId="34A02FD9" w14:textId="77777777" w:rsidR="00C4707F" w:rsidRDefault="00C4707F" w:rsidP="00C4707F">
            <w:pPr>
              <w:rPr>
                <w:rFonts w:cstheme="minorHAnsi"/>
              </w:rPr>
            </w:pP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3985" w14:textId="77777777" w:rsidR="008B4504" w:rsidRDefault="008B4504" w:rsidP="00D2741A">
      <w:pPr>
        <w:spacing w:after="0" w:line="240" w:lineRule="auto"/>
      </w:pPr>
      <w:r>
        <w:separator/>
      </w:r>
    </w:p>
  </w:endnote>
  <w:endnote w:type="continuationSeparator" w:id="0">
    <w:p w14:paraId="2D903C5D" w14:textId="77777777" w:rsidR="008B4504" w:rsidRDefault="008B4504" w:rsidP="00D2741A">
      <w:pPr>
        <w:spacing w:after="0" w:line="240" w:lineRule="auto"/>
      </w:pPr>
      <w:r>
        <w:continuationSeparator/>
      </w:r>
    </w:p>
  </w:endnote>
  <w:endnote w:type="continuationNotice" w:id="1">
    <w:p w14:paraId="7474AA77" w14:textId="77777777" w:rsidR="008B4504" w:rsidRDefault="008B4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FE8B1" w14:textId="77777777" w:rsidR="008B4504" w:rsidRDefault="008B4504" w:rsidP="00D2741A">
      <w:pPr>
        <w:spacing w:after="0" w:line="240" w:lineRule="auto"/>
      </w:pPr>
      <w:r>
        <w:separator/>
      </w:r>
    </w:p>
  </w:footnote>
  <w:footnote w:type="continuationSeparator" w:id="0">
    <w:p w14:paraId="67EB08E4" w14:textId="77777777" w:rsidR="008B4504" w:rsidRDefault="008B4504" w:rsidP="00D2741A">
      <w:pPr>
        <w:spacing w:after="0" w:line="240" w:lineRule="auto"/>
      </w:pPr>
      <w:r>
        <w:continuationSeparator/>
      </w:r>
    </w:p>
  </w:footnote>
  <w:footnote w:type="continuationNotice" w:id="1">
    <w:p w14:paraId="0F0F9693" w14:textId="77777777" w:rsidR="008B4504" w:rsidRDefault="008B45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9E2A07"/>
    <w:multiLevelType w:val="hybridMultilevel"/>
    <w:tmpl w:val="52E8E766"/>
    <w:lvl w:ilvl="0" w:tplc="565A1906">
      <w:start w:val="1"/>
      <w:numFmt w:val="lowerLetter"/>
      <w:lvlText w:val="(%1)"/>
      <w:lvlJc w:val="left"/>
      <w:pPr>
        <w:ind w:left="461" w:hanging="360"/>
      </w:pPr>
      <w:rPr>
        <w:rFonts w:hint="default"/>
        <w:b w:val="0"/>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9"/>
  </w:num>
  <w:num w:numId="4">
    <w:abstractNumId w:val="13"/>
  </w:num>
  <w:num w:numId="5">
    <w:abstractNumId w:val="2"/>
  </w:num>
  <w:num w:numId="6">
    <w:abstractNumId w:val="11"/>
  </w:num>
  <w:num w:numId="7">
    <w:abstractNumId w:val="4"/>
  </w:num>
  <w:num w:numId="8">
    <w:abstractNumId w:val="7"/>
  </w:num>
  <w:num w:numId="9">
    <w:abstractNumId w:val="10"/>
  </w:num>
  <w:num w:numId="10">
    <w:abstractNumId w:val="12"/>
  </w:num>
  <w:num w:numId="11">
    <w:abstractNumId w:val="5"/>
  </w:num>
  <w:num w:numId="12">
    <w:abstractNumId w:val="1"/>
  </w:num>
  <w:num w:numId="13">
    <w:abstractNumId w:val="0"/>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3B3E"/>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2FDF"/>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12A76"/>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94A"/>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4504"/>
    <w:rsid w:val="008B6773"/>
    <w:rsid w:val="008C0E55"/>
    <w:rsid w:val="008C163F"/>
    <w:rsid w:val="008C1DBB"/>
    <w:rsid w:val="008C3917"/>
    <w:rsid w:val="008C4F4D"/>
    <w:rsid w:val="008C7864"/>
    <w:rsid w:val="008D0447"/>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3D96"/>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59C6"/>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paragraph" w:styleId="Title">
    <w:name w:val="Title"/>
    <w:basedOn w:val="Normal"/>
    <w:next w:val="Normal"/>
    <w:link w:val="TitleChar"/>
    <w:uiPriority w:val="10"/>
    <w:qFormat/>
    <w:rsid w:val="007A5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9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jeev@hawaii.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2.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B989A-C2DB-504D-87CD-CCBAD2CF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Sanjeev Sridharan</cp:lastModifiedBy>
  <cp:revision>2</cp:revision>
  <cp:lastPrinted>2022-03-10T21:45:00Z</cp:lastPrinted>
  <dcterms:created xsi:type="dcterms:W3CDTF">2024-07-01T05:20:00Z</dcterms:created>
  <dcterms:modified xsi:type="dcterms:W3CDTF">2024-07-01T05:20:00Z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