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461"/>
        <w:tblW w:w="10075" w:type="dxa"/>
        <w:tblLook w:val="04A0" w:firstRow="1" w:lastRow="0" w:firstColumn="1" w:lastColumn="0" w:noHBand="0" w:noVBand="1"/>
      </w:tblPr>
      <w:tblGrid>
        <w:gridCol w:w="4748"/>
        <w:gridCol w:w="5327"/>
      </w:tblGrid>
      <w:tr w:rsidR="00BF6A70" w:rsidRPr="001B7BE7" w14:paraId="05131723" w14:textId="77777777" w:rsidTr="00BF6A70">
        <w:trPr>
          <w:trHeight w:val="296"/>
        </w:trPr>
        <w:tc>
          <w:tcPr>
            <w:tcW w:w="4748" w:type="dxa"/>
          </w:tcPr>
          <w:p w14:paraId="737F30BE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Presenter’s full name (title, name, surname)</w:t>
            </w:r>
          </w:p>
        </w:tc>
        <w:tc>
          <w:tcPr>
            <w:tcW w:w="5327" w:type="dxa"/>
          </w:tcPr>
          <w:p w14:paraId="717DE04E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 xml:space="preserve">Ms </w:t>
            </w:r>
            <w:r>
              <w:rPr>
                <w:rFonts w:cstheme="minorHAnsi"/>
                <w:color w:val="000000" w:themeColor="text1"/>
              </w:rPr>
              <w:t>Guilty Mantsie Motsepe</w:t>
            </w:r>
          </w:p>
        </w:tc>
      </w:tr>
      <w:tr w:rsidR="00BF6A70" w:rsidRPr="001B7BE7" w14:paraId="7EB85A07" w14:textId="77777777" w:rsidTr="00BF6A70">
        <w:trPr>
          <w:trHeight w:val="282"/>
        </w:trPr>
        <w:tc>
          <w:tcPr>
            <w:tcW w:w="4748" w:type="dxa"/>
          </w:tcPr>
          <w:p w14:paraId="486B4480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Nationality</w:t>
            </w:r>
          </w:p>
        </w:tc>
        <w:tc>
          <w:tcPr>
            <w:tcW w:w="5327" w:type="dxa"/>
          </w:tcPr>
          <w:p w14:paraId="562FB179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South African</w:t>
            </w:r>
          </w:p>
        </w:tc>
      </w:tr>
      <w:tr w:rsidR="00BF6A70" w:rsidRPr="001B7BE7" w14:paraId="4F5A1639" w14:textId="77777777" w:rsidTr="00BF6A70">
        <w:trPr>
          <w:trHeight w:val="282"/>
        </w:trPr>
        <w:tc>
          <w:tcPr>
            <w:tcW w:w="4748" w:type="dxa"/>
          </w:tcPr>
          <w:p w14:paraId="0162AE0A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Gender</w:t>
            </w:r>
          </w:p>
        </w:tc>
        <w:tc>
          <w:tcPr>
            <w:tcW w:w="5327" w:type="dxa"/>
          </w:tcPr>
          <w:p w14:paraId="41BB73E6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Female</w:t>
            </w:r>
          </w:p>
        </w:tc>
      </w:tr>
      <w:tr w:rsidR="00BF6A70" w:rsidRPr="001B7BE7" w14:paraId="25ADD0F7" w14:textId="77777777" w:rsidTr="00BF6A70">
        <w:trPr>
          <w:trHeight w:val="282"/>
        </w:trPr>
        <w:tc>
          <w:tcPr>
            <w:tcW w:w="4748" w:type="dxa"/>
          </w:tcPr>
          <w:p w14:paraId="4E135B94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 xml:space="preserve">Country of residence </w:t>
            </w:r>
          </w:p>
        </w:tc>
        <w:tc>
          <w:tcPr>
            <w:tcW w:w="5327" w:type="dxa"/>
          </w:tcPr>
          <w:p w14:paraId="57AD128F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South Africa</w:t>
            </w:r>
          </w:p>
        </w:tc>
      </w:tr>
      <w:tr w:rsidR="00BF6A70" w:rsidRPr="001B7BE7" w14:paraId="1BAEB251" w14:textId="77777777" w:rsidTr="00BF6A70">
        <w:trPr>
          <w:trHeight w:val="282"/>
        </w:trPr>
        <w:tc>
          <w:tcPr>
            <w:tcW w:w="4748" w:type="dxa"/>
          </w:tcPr>
          <w:p w14:paraId="1836657B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Institutional affiliation</w:t>
            </w:r>
          </w:p>
        </w:tc>
        <w:tc>
          <w:tcPr>
            <w:tcW w:w="5327" w:type="dxa"/>
          </w:tcPr>
          <w:p w14:paraId="79DFD9AD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Department of Planning, Monitoring and Evaluation</w:t>
            </w:r>
          </w:p>
        </w:tc>
      </w:tr>
      <w:tr w:rsidR="00BF6A70" w:rsidRPr="001B7BE7" w14:paraId="1D8F9B07" w14:textId="77777777" w:rsidTr="00BF6A70">
        <w:trPr>
          <w:trHeight w:val="282"/>
        </w:trPr>
        <w:tc>
          <w:tcPr>
            <w:tcW w:w="4748" w:type="dxa"/>
          </w:tcPr>
          <w:p w14:paraId="17FB99A1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Contact information including email and telephone</w:t>
            </w:r>
          </w:p>
        </w:tc>
        <w:tc>
          <w:tcPr>
            <w:tcW w:w="5327" w:type="dxa"/>
          </w:tcPr>
          <w:p w14:paraId="2A4184EA" w14:textId="13AD64BB" w:rsidR="00BF6A70" w:rsidRPr="001B7BE7" w:rsidRDefault="00EB7E9B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hyperlink r:id="rId7" w:history="1">
              <w:r w:rsidRPr="00C50D4B">
                <w:rPr>
                  <w:rStyle w:val="Hyperlink"/>
                  <w:rFonts w:cstheme="minorHAnsi"/>
                </w:rPr>
                <w:t>Mantsie@dpme.gov.za</w:t>
              </w:r>
            </w:hyperlink>
            <w:r>
              <w:rPr>
                <w:rFonts w:cstheme="minorHAnsi"/>
              </w:rPr>
              <w:t xml:space="preserve">; </w:t>
            </w:r>
            <w:hyperlink r:id="rId8" w:history="1">
              <w:r w:rsidRPr="00C50D4B">
                <w:rPr>
                  <w:rStyle w:val="Hyperlink"/>
                  <w:rFonts w:cstheme="minorHAnsi"/>
                </w:rPr>
                <w:t>mgmotsepe@gmail.com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E94CD2A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0027</w:t>
            </w:r>
            <w:r>
              <w:rPr>
                <w:rFonts w:cstheme="minorHAnsi"/>
                <w:color w:val="000000" w:themeColor="text1"/>
              </w:rPr>
              <w:t>9494295</w:t>
            </w:r>
          </w:p>
        </w:tc>
      </w:tr>
      <w:tr w:rsidR="00BF6A70" w:rsidRPr="001B7BE7" w14:paraId="10E101C7" w14:textId="77777777" w:rsidTr="00BF6A70">
        <w:trPr>
          <w:trHeight w:val="282"/>
        </w:trPr>
        <w:tc>
          <w:tcPr>
            <w:tcW w:w="4748" w:type="dxa"/>
          </w:tcPr>
          <w:p w14:paraId="293B1C0F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Title of the abstract</w:t>
            </w:r>
          </w:p>
        </w:tc>
        <w:tc>
          <w:tcPr>
            <w:tcW w:w="5327" w:type="dxa"/>
          </w:tcPr>
          <w:p w14:paraId="5BB02DFC" w14:textId="4C6468BD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447AFA">
              <w:rPr>
                <w:rFonts w:cstheme="minorHAnsi"/>
                <w:color w:val="000000" w:themeColor="text1"/>
              </w:rPr>
              <w:t xml:space="preserve"> Frontline Service Delivery Monitoring </w:t>
            </w:r>
            <w:r w:rsidR="001F6AA1">
              <w:rPr>
                <w:rFonts w:cstheme="minorHAnsi"/>
                <w:color w:val="000000" w:themeColor="text1"/>
              </w:rPr>
              <w:t xml:space="preserve"> as a strategic government programme of the</w:t>
            </w:r>
            <w:r>
              <w:rPr>
                <w:rFonts w:cstheme="minorHAnsi"/>
                <w:color w:val="000000" w:themeColor="text1"/>
              </w:rPr>
              <w:t xml:space="preserve"> South African Government.</w:t>
            </w:r>
          </w:p>
        </w:tc>
      </w:tr>
      <w:tr w:rsidR="00BF6A70" w:rsidRPr="001B7BE7" w14:paraId="463B9CD7" w14:textId="77777777" w:rsidTr="00BF6A70">
        <w:trPr>
          <w:trHeight w:val="282"/>
        </w:trPr>
        <w:tc>
          <w:tcPr>
            <w:tcW w:w="4748" w:type="dxa"/>
          </w:tcPr>
          <w:p w14:paraId="230DF1FB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 xml:space="preserve">Conference session </w:t>
            </w:r>
          </w:p>
        </w:tc>
        <w:tc>
          <w:tcPr>
            <w:tcW w:w="5327" w:type="dxa"/>
          </w:tcPr>
          <w:p w14:paraId="6908F6FC" w14:textId="33577F4F" w:rsidR="00BF6A70" w:rsidRPr="001B7BE7" w:rsidRDefault="00BF6A70" w:rsidP="00BF6A70">
            <w:pPr>
              <w:spacing w:after="120"/>
              <w:contextualSpacing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□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B7BE7">
              <w:rPr>
                <w:rFonts w:cstheme="minorHAnsi"/>
                <w:color w:val="000000" w:themeColor="text1"/>
              </w:rPr>
              <w:t xml:space="preserve">Stream A. Responsive National </w:t>
            </w:r>
            <w:r w:rsidR="001F6AA1">
              <w:rPr>
                <w:rFonts w:cstheme="minorHAnsi"/>
                <w:color w:val="000000" w:themeColor="text1"/>
              </w:rPr>
              <w:t>E</w:t>
            </w:r>
            <w:r w:rsidRPr="001B7BE7">
              <w:rPr>
                <w:rFonts w:cstheme="minorHAnsi"/>
                <w:color w:val="000000" w:themeColor="text1"/>
              </w:rPr>
              <w:t xml:space="preserve">valuation Systems </w:t>
            </w:r>
          </w:p>
          <w:p w14:paraId="17F8025B" w14:textId="77777777" w:rsidR="00BF6A70" w:rsidRPr="001B7BE7" w:rsidRDefault="00BF6A70" w:rsidP="00BF6A70">
            <w:pPr>
              <w:spacing w:after="120"/>
              <w:contextualSpacing/>
              <w:rPr>
                <w:rFonts w:cstheme="minorHAnsi"/>
                <w:color w:val="000000" w:themeColor="text1"/>
              </w:rPr>
            </w:pPr>
          </w:p>
          <w:p w14:paraId="207F2A9D" w14:textId="77777777" w:rsidR="00BF6A70" w:rsidRPr="001B7BE7" w:rsidRDefault="00BF6A70" w:rsidP="00BF6A70">
            <w:pPr>
              <w:spacing w:after="120"/>
              <w:contextualSpacing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□ Stream B. Inclusive National Evaluation Systems</w:t>
            </w:r>
          </w:p>
          <w:p w14:paraId="49927C70" w14:textId="77777777" w:rsidR="00BF6A70" w:rsidRPr="001B7BE7" w:rsidRDefault="00BF6A70" w:rsidP="00BF6A70">
            <w:pPr>
              <w:spacing w:after="120"/>
              <w:contextualSpacing/>
              <w:rPr>
                <w:rFonts w:cstheme="minorHAnsi"/>
                <w:color w:val="000000" w:themeColor="text1"/>
              </w:rPr>
            </w:pPr>
          </w:p>
          <w:p w14:paraId="13BC9F65" w14:textId="77777777" w:rsidR="00BF6A70" w:rsidRPr="001B7BE7" w:rsidRDefault="00BF6A70" w:rsidP="00BF6A70">
            <w:pPr>
              <w:spacing w:after="120"/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X</w:t>
            </w:r>
            <w:r w:rsidRPr="001B7BE7">
              <w:rPr>
                <w:rFonts w:cstheme="minorHAnsi"/>
                <w:color w:val="000000" w:themeColor="text1"/>
              </w:rPr>
              <w:t xml:space="preserve">□ Stream C. Future Driven Systems and Approaches </w:t>
            </w:r>
          </w:p>
        </w:tc>
      </w:tr>
      <w:tr w:rsidR="00BF6A70" w:rsidRPr="001B7BE7" w14:paraId="290D2B87" w14:textId="77777777" w:rsidTr="00BF6A70">
        <w:trPr>
          <w:trHeight w:val="282"/>
        </w:trPr>
        <w:tc>
          <w:tcPr>
            <w:tcW w:w="4748" w:type="dxa"/>
          </w:tcPr>
          <w:p w14:paraId="77FCB1F4" w14:textId="77777777" w:rsidR="00BF6A70" w:rsidRPr="001B7BE7" w:rsidRDefault="00BF6A70" w:rsidP="00BF6A70">
            <w:pPr>
              <w:spacing w:after="120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Name(s), title(s) and institutional affiliation(s) of all other authors/contributors (if applicable)</w:t>
            </w:r>
          </w:p>
        </w:tc>
        <w:tc>
          <w:tcPr>
            <w:tcW w:w="5327" w:type="dxa"/>
          </w:tcPr>
          <w:p w14:paraId="3443D347" w14:textId="77777777" w:rsidR="00BF6A70" w:rsidRPr="001B7BE7" w:rsidRDefault="00BF6A70" w:rsidP="00BF6A70">
            <w:pPr>
              <w:spacing w:after="120"/>
              <w:contextualSpacing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Guilty Mantsie Motsepe</w:t>
            </w:r>
            <w:r w:rsidRPr="001B7BE7">
              <w:rPr>
                <w:rFonts w:cstheme="minorHAnsi"/>
                <w:color w:val="000000" w:themeColor="text1"/>
              </w:rPr>
              <w:t>. Deputy Director: Frontline Monitoring</w:t>
            </w:r>
            <w:r>
              <w:rPr>
                <w:rFonts w:cstheme="minorHAnsi"/>
                <w:color w:val="000000" w:themeColor="text1"/>
              </w:rPr>
              <w:t xml:space="preserve"> and</w:t>
            </w:r>
            <w:r w:rsidRPr="001B7BE7">
              <w:rPr>
                <w:rFonts w:cstheme="minorHAnsi"/>
                <w:color w:val="000000" w:themeColor="text1"/>
              </w:rPr>
              <w:t xml:space="preserve"> Support, Department of Planning, Monitoring and Evaluation, South Africa</w:t>
            </w:r>
          </w:p>
        </w:tc>
      </w:tr>
      <w:tr w:rsidR="00BF6A70" w:rsidRPr="001B7BE7" w14:paraId="099528FF" w14:textId="77777777" w:rsidTr="00BF6A70">
        <w:trPr>
          <w:trHeight w:val="282"/>
        </w:trPr>
        <w:tc>
          <w:tcPr>
            <w:tcW w:w="4748" w:type="dxa"/>
          </w:tcPr>
          <w:p w14:paraId="794BA09F" w14:textId="77777777" w:rsidR="00BF6A70" w:rsidRPr="001B7BE7" w:rsidRDefault="00BF6A70" w:rsidP="00BF6A70">
            <w:pPr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 xml:space="preserve">Preferred format: </w:t>
            </w:r>
          </w:p>
        </w:tc>
        <w:tc>
          <w:tcPr>
            <w:tcW w:w="5327" w:type="dxa"/>
          </w:tcPr>
          <w:p w14:paraId="655DF802" w14:textId="77777777" w:rsidR="00BF6A70" w:rsidRPr="001B7BE7" w:rsidRDefault="00BF6A70" w:rsidP="00BF6A70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X Formal presentation (maximum 10 minutes)</w:t>
            </w:r>
          </w:p>
          <w:p w14:paraId="6100557E" w14:textId="77777777" w:rsidR="00BF6A70" w:rsidRPr="001B7BE7" w:rsidRDefault="00BF6A70" w:rsidP="00BF6A70">
            <w:pPr>
              <w:pStyle w:val="CommentText"/>
              <w:ind w:left="179" w:hanging="17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□ Participation in a panel discussion where the experience can be shared</w:t>
            </w:r>
          </w:p>
          <w:p w14:paraId="64DCAAC6" w14:textId="77777777" w:rsidR="00BF6A70" w:rsidRPr="001B7BE7" w:rsidRDefault="00BF6A70" w:rsidP="00BF6A70">
            <w:pPr>
              <w:pStyle w:val="CommentText"/>
              <w:ind w:left="179" w:hanging="179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□ Participation in an interactive session where the example can be shared, without a formal presentation</w:t>
            </w:r>
          </w:p>
          <w:p w14:paraId="00904C45" w14:textId="77777777" w:rsidR="00BF6A70" w:rsidRPr="001B7BE7" w:rsidRDefault="00BF6A70" w:rsidP="00BF6A70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□ Other (please specify) ____________________</w:t>
            </w:r>
          </w:p>
          <w:p w14:paraId="3ACA9A7B" w14:textId="77777777" w:rsidR="00BF6A70" w:rsidRPr="001B7BE7" w:rsidRDefault="00BF6A70" w:rsidP="00BF6A70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BF6A70" w:rsidRPr="001B7BE7" w14:paraId="0B0C12C7" w14:textId="77777777" w:rsidTr="00BF6A70">
        <w:trPr>
          <w:trHeight w:val="282"/>
        </w:trPr>
        <w:tc>
          <w:tcPr>
            <w:tcW w:w="4748" w:type="dxa"/>
          </w:tcPr>
          <w:p w14:paraId="3A526214" w14:textId="77777777" w:rsidR="00BF6A70" w:rsidRPr="001B7BE7" w:rsidRDefault="00BF6A70" w:rsidP="00BF6A70">
            <w:pPr>
              <w:spacing w:after="12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1B7BE7">
              <w:rPr>
                <w:rFonts w:cstheme="minorHAnsi"/>
                <w:color w:val="000000" w:themeColor="text1"/>
              </w:rPr>
              <w:t>I will need to apply for bursary support, if selected</w:t>
            </w:r>
            <w:r w:rsidRPr="001B7BE7">
              <w:rPr>
                <w:rFonts w:cstheme="minorHAnsi"/>
                <w:iCs/>
                <w:color w:val="000000" w:themeColor="text1"/>
              </w:rPr>
              <w:t>.</w:t>
            </w:r>
            <w:r w:rsidRPr="001B7BE7">
              <w:rPr>
                <w:rFonts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327" w:type="dxa"/>
          </w:tcPr>
          <w:p w14:paraId="05896FE3" w14:textId="77777777" w:rsidR="00BF6A70" w:rsidRPr="001B7BE7" w:rsidRDefault="00BF6A70" w:rsidP="00BF6A70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X Yes</w:t>
            </w:r>
          </w:p>
          <w:p w14:paraId="04960A0C" w14:textId="77777777" w:rsidR="00BF6A70" w:rsidRPr="001B7BE7" w:rsidRDefault="00BF6A70" w:rsidP="00BF6A70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□ No</w:t>
            </w:r>
          </w:p>
        </w:tc>
      </w:tr>
      <w:tr w:rsidR="00BF6A70" w:rsidRPr="001B7BE7" w14:paraId="5C501C06" w14:textId="77777777" w:rsidTr="00BF6A70">
        <w:trPr>
          <w:trHeight w:val="282"/>
        </w:trPr>
        <w:tc>
          <w:tcPr>
            <w:tcW w:w="4748" w:type="dxa"/>
          </w:tcPr>
          <w:p w14:paraId="69391A68" w14:textId="77777777" w:rsidR="00BF6A70" w:rsidRPr="001B7BE7" w:rsidRDefault="00BF6A70" w:rsidP="00BF6A70">
            <w:pPr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1B7BE7">
              <w:rPr>
                <w:rFonts w:cstheme="minorHAnsi"/>
                <w:color w:val="000000" w:themeColor="text1"/>
              </w:rPr>
              <w:t>Language to be used for presentation</w:t>
            </w:r>
          </w:p>
        </w:tc>
        <w:tc>
          <w:tcPr>
            <w:tcW w:w="5327" w:type="dxa"/>
          </w:tcPr>
          <w:p w14:paraId="4EB6F7E0" w14:textId="77777777" w:rsidR="00BF6A70" w:rsidRPr="001B7BE7" w:rsidRDefault="00BF6A70" w:rsidP="00BF6A70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1B7BE7">
              <w:rPr>
                <w:rFonts w:cstheme="minorHAnsi"/>
                <w:color w:val="000000" w:themeColor="text1"/>
                <w:sz w:val="22"/>
                <w:szCs w:val="22"/>
              </w:rPr>
              <w:t>X English □ French □ Spanish □ Chinese</w:t>
            </w:r>
          </w:p>
        </w:tc>
      </w:tr>
    </w:tbl>
    <w:p w14:paraId="067FF42F" w14:textId="77777777" w:rsidR="00BF6A70" w:rsidRPr="001B7BE7" w:rsidRDefault="00BF6A70" w:rsidP="00BF6A70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7BE7">
        <w:rPr>
          <w:rFonts w:ascii="Calibri" w:hAnsi="Calibri" w:cs="Calibr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DE712" wp14:editId="2DB6A3BD">
                <wp:simplePos x="0" y="0"/>
                <wp:positionH relativeFrom="margin">
                  <wp:align>right</wp:align>
                </wp:positionH>
                <wp:positionV relativeFrom="paragraph">
                  <wp:posOffset>262724</wp:posOffset>
                </wp:positionV>
                <wp:extent cx="6387465" cy="419100"/>
                <wp:effectExtent l="0" t="0" r="1333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46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13A8D2"/>
                          </a:solidFill>
                        </a:ln>
                      </wps:spPr>
                      <wps:txbx>
                        <w:txbxContent>
                          <w:p w14:paraId="35974006" w14:textId="77777777" w:rsidR="00BF6A70" w:rsidRPr="009A4516" w:rsidRDefault="00BF6A70" w:rsidP="00BF6A70">
                            <w:pPr>
                              <w:jc w:val="center"/>
                              <w:rPr>
                                <w:b/>
                                <w:color w:val="13A8D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3A8D2"/>
                                <w:sz w:val="28"/>
                              </w:rPr>
                              <w:t>ABSTRACT SUBMISSION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9DE7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75pt;margin-top:20.7pt;width:502.95pt;height:3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" fillcolor="white [3201]" strokecolor="#13a8d2" strokeweight="1.5pt">
                <v:textbox>
                  <w:txbxContent>
                    <w:p w14:paraId="35974006" w14:textId="77777777" w:rsidR="00BF6A70" w:rsidRPr="009A4516" w:rsidRDefault="00BF6A70" w:rsidP="00BF6A70">
                      <w:pPr>
                        <w:jc w:val="center"/>
                        <w:rPr>
                          <w:b/>
                          <w:color w:val="13A8D2"/>
                          <w:sz w:val="28"/>
                        </w:rPr>
                      </w:pPr>
                      <w:r>
                        <w:rPr>
                          <w:b/>
                          <w:color w:val="13A8D2"/>
                          <w:sz w:val="28"/>
                        </w:rPr>
                        <w:t>ABSTRACT SUBMISSION TEMPLATE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B7BE7">
        <w:rPr>
          <w:rFonts w:asciiTheme="minorHAnsi" w:hAnsiTheme="minorHAnsi" w:cstheme="minorHAnsi"/>
          <w:color w:val="000000" w:themeColor="text1"/>
          <w:sz w:val="22"/>
          <w:szCs w:val="22"/>
        </w:rPr>
        <w:t>Annex 2: Abstract submission template (to be uploaded to the submission portal)</w:t>
      </w:r>
    </w:p>
    <w:p w14:paraId="75C765EB" w14:textId="77777777" w:rsidR="00BF6A70" w:rsidRPr="001B7BE7" w:rsidRDefault="00BF6A70" w:rsidP="00BF6A70">
      <w:pPr>
        <w:rPr>
          <w:rFonts w:cstheme="minorHAnsi"/>
          <w:color w:val="000000" w:themeColor="text1"/>
        </w:rPr>
      </w:pPr>
    </w:p>
    <w:p w14:paraId="6A7B5FEF" w14:textId="73DAD174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2CA2544A" w14:textId="6A886C2E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0EAAFDA0" w14:textId="50D09F97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6E875418" w14:textId="58B220AB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449C1504" w14:textId="32DF0C93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31F2403D" w14:textId="77777777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1D6B1F11" w14:textId="1E079D9D" w:rsidR="00BF6A70" w:rsidRDefault="00BF6A70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253645E9" w14:textId="77777777" w:rsidR="00A87F12" w:rsidRDefault="00A87F12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</w:p>
    <w:p w14:paraId="7553415C" w14:textId="66FD45C9" w:rsidR="002039BF" w:rsidRPr="002039BF" w:rsidRDefault="002039BF" w:rsidP="002039BF">
      <w:pPr>
        <w:rPr>
          <w:rFonts w:ascii="Calibri" w:eastAsia="Calibri" w:hAnsi="Calibri" w:cs="Arial"/>
          <w:b/>
          <w:bCs/>
          <w:color w:val="000000"/>
          <w:lang w:val="en-US"/>
        </w:rPr>
      </w:pPr>
      <w:r w:rsidRPr="002039BF">
        <w:rPr>
          <w:rFonts w:ascii="Calibri" w:eastAsia="Calibri" w:hAnsi="Calibri" w:cs="Arial"/>
          <w:b/>
          <w:bCs/>
          <w:color w:val="000000"/>
          <w:lang w:val="en-US"/>
        </w:rPr>
        <w:lastRenderedPageBreak/>
        <w:t>Abstract Text (max. 500 words)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39BF" w:rsidRPr="002039BF" w14:paraId="62A16662" w14:textId="77777777" w:rsidTr="00B22374">
        <w:tc>
          <w:tcPr>
            <w:tcW w:w="10070" w:type="dxa"/>
          </w:tcPr>
          <w:p w14:paraId="15FF5F6F" w14:textId="77777777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 xml:space="preserve"> INTRODUCTION</w:t>
            </w:r>
          </w:p>
          <w:p w14:paraId="00FCE64B" w14:textId="7BD0A88B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 xml:space="preserve"> Since its inception in 2011, the Frontline Service Delivery Monitoring</w:t>
            </w:r>
            <w:r w:rsidR="00A44400">
              <w:rPr>
                <w:rFonts w:ascii="Calibri" w:eastAsia="Calibri" w:hAnsi="Calibri" w:cs="Calibri"/>
                <w:color w:val="000000"/>
              </w:rPr>
              <w:t xml:space="preserve"> (FSDM)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Programme, in collaboration with Offices / Departments of the Premier, has been monitoring public service facilities</w:t>
            </w:r>
            <w:r w:rsidR="003B4905">
              <w:rPr>
                <w:rFonts w:ascii="Calibri" w:eastAsia="Calibri" w:hAnsi="Calibri" w:cs="Calibri"/>
                <w:color w:val="000000"/>
              </w:rPr>
              <w:t>, these have resulted in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improvements </w:t>
            </w:r>
            <w:r w:rsidR="003B4905">
              <w:rPr>
                <w:rFonts w:ascii="Calibri" w:eastAsia="Calibri" w:hAnsi="Calibri" w:cs="Calibri"/>
                <w:color w:val="000000"/>
              </w:rPr>
              <w:t>in facilities</w:t>
            </w:r>
            <w:r w:rsidRPr="002039BF">
              <w:rPr>
                <w:rFonts w:ascii="Calibri" w:eastAsia="Calibri" w:hAnsi="Calibri" w:cs="Calibri"/>
                <w:color w:val="000000"/>
              </w:rPr>
              <w:t>. The programme seeks to instill a culture of self-monitoring so that improvements to the quality-of-service delivery is realized, with an overall aim of advancing planning, accountability, responsibility and reporting.</w:t>
            </w:r>
          </w:p>
          <w:p w14:paraId="011B6ADF" w14:textId="0E6C378D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>The FSDM Programme is dynamic in nature, with an evolving scope and is a flagship programme of the DPME, with several successful engagements with Cabinet, Presidential Coordination Committee, as well as various portfolio committees. The programme successful</w:t>
            </w:r>
            <w:r w:rsidR="009513D1">
              <w:rPr>
                <w:rFonts w:ascii="Calibri" w:eastAsia="Calibri" w:hAnsi="Calibri" w:cs="Calibri"/>
                <w:color w:val="000000"/>
              </w:rPr>
              <w:t xml:space="preserve">ly </w:t>
            </w:r>
            <w:r w:rsidRPr="002039BF">
              <w:rPr>
                <w:rFonts w:ascii="Calibri" w:eastAsia="Calibri" w:hAnsi="Calibri" w:cs="Calibri"/>
                <w:color w:val="000000"/>
              </w:rPr>
              <w:t>elevat</w:t>
            </w:r>
            <w:r w:rsidR="009513D1">
              <w:rPr>
                <w:rFonts w:ascii="Calibri" w:eastAsia="Calibri" w:hAnsi="Calibri" w:cs="Calibri"/>
                <w:color w:val="000000"/>
              </w:rPr>
              <w:t>ed</w:t>
            </w:r>
            <w:r w:rsidR="001F6AA1">
              <w:rPr>
                <w:rFonts w:ascii="Calibri" w:eastAsia="Calibri" w:hAnsi="Calibri" w:cs="Calibri"/>
                <w:color w:val="000000"/>
              </w:rPr>
              <w:t xml:space="preserve"> monitoring and evaluation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to strategic levels in certain sector departments</w:t>
            </w:r>
            <w:r w:rsidR="009513D1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such that they 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developed their own iterations of the programme. </w:t>
            </w:r>
          </w:p>
          <w:p w14:paraId="399411C1" w14:textId="3B74687F" w:rsidR="002039BF" w:rsidRPr="003B4905" w:rsidRDefault="002039BF" w:rsidP="003B4905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>METHODOLOGY</w:t>
            </w:r>
          </w:p>
          <w:p w14:paraId="63AD7A17" w14:textId="2DA742F5" w:rsidR="009A286E" w:rsidRPr="002039BF" w:rsidRDefault="009A286E" w:rsidP="001F6AA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Pr="002039BF">
              <w:rPr>
                <w:rFonts w:ascii="Calibri" w:eastAsia="Calibri" w:hAnsi="Calibri" w:cs="Calibri"/>
                <w:color w:val="000000"/>
              </w:rPr>
              <w:t>monitoring approach of the FSDM includes the administration of the questionnaires to users of the facility</w:t>
            </w:r>
            <w:r>
              <w:rPr>
                <w:rFonts w:ascii="Calibri" w:eastAsia="Calibri" w:hAnsi="Calibri" w:cs="Calibri"/>
                <w:color w:val="000000"/>
              </w:rPr>
              <w:t xml:space="preserve"> and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facility </w:t>
            </w:r>
            <w:r w:rsidRPr="002039BF">
              <w:rPr>
                <w:rFonts w:ascii="Calibri" w:eastAsia="Calibri" w:hAnsi="Calibri" w:cs="Calibri"/>
                <w:color w:val="000000"/>
              </w:rPr>
              <w:t>staff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 monitor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 further</w:t>
            </w:r>
            <w:r>
              <w:rPr>
                <w:rFonts w:ascii="Calibri" w:eastAsia="Calibri" w:hAnsi="Calibri" w:cs="Calibri"/>
                <w:color w:val="000000"/>
              </w:rPr>
              <w:t xml:space="preserve"> conducts independent observations </w:t>
            </w:r>
            <w:r w:rsidRPr="002039BF">
              <w:rPr>
                <w:rFonts w:ascii="Calibri" w:eastAsia="Calibri" w:hAnsi="Calibri" w:cs="Calibri"/>
                <w:color w:val="000000"/>
              </w:rPr>
              <w:t>coupled</w:t>
            </w:r>
            <w:r>
              <w:rPr>
                <w:rFonts w:ascii="Calibri" w:eastAsia="Calibri" w:hAnsi="Calibri" w:cs="Calibri"/>
                <w:color w:val="000000"/>
              </w:rPr>
              <w:t xml:space="preserve"> with photographic evidence 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and these are used to </w:t>
            </w:r>
            <w:r>
              <w:rPr>
                <w:rFonts w:ascii="Calibri" w:eastAsia="Calibri" w:hAnsi="Calibri" w:cs="Calibri"/>
                <w:color w:val="000000"/>
              </w:rPr>
              <w:t>triangulate the results.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79E099" w14:textId="77777777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>FINDINGS</w:t>
            </w:r>
          </w:p>
          <w:p w14:paraId="74A60191" w14:textId="37FBA770" w:rsidR="009A286E" w:rsidRDefault="002039BF" w:rsidP="009A286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 xml:space="preserve"> FSDM </w:t>
            </w:r>
            <w:r w:rsidR="003B4905" w:rsidRPr="002039BF">
              <w:rPr>
                <w:rFonts w:ascii="Calibri" w:eastAsia="Calibri" w:hAnsi="Calibri" w:cs="Calibri"/>
                <w:color w:val="000000"/>
              </w:rPr>
              <w:t>programme assesses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the </w:t>
            </w:r>
            <w:r w:rsidR="009B7CCC" w:rsidRPr="002039BF">
              <w:rPr>
                <w:rFonts w:ascii="Calibri" w:eastAsia="Calibri" w:hAnsi="Calibri" w:cs="Calibri"/>
                <w:color w:val="000000"/>
              </w:rPr>
              <w:t>quality-of-service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delivery at frontline facilities with the aim of </w:t>
            </w:r>
            <w:r w:rsidR="009B7CCC">
              <w:rPr>
                <w:rFonts w:ascii="Calibri" w:eastAsia="Calibri" w:hAnsi="Calibri" w:cs="Calibri"/>
                <w:color w:val="000000"/>
              </w:rPr>
              <w:t>facilitating improvements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 and </w:t>
            </w:r>
            <w:r w:rsidR="009B7CCC">
              <w:rPr>
                <w:rFonts w:ascii="Calibri" w:eastAsia="Calibri" w:hAnsi="Calibri" w:cs="Calibri"/>
                <w:color w:val="000000"/>
              </w:rPr>
              <w:t>improve citizen satisfaction.</w:t>
            </w:r>
            <w:r w:rsidR="009A286E">
              <w:rPr>
                <w:rFonts w:ascii="Calibri" w:eastAsia="Calibri" w:hAnsi="Calibri" w:cs="Calibri"/>
                <w:color w:val="000000"/>
              </w:rPr>
              <w:t xml:space="preserve"> This is done t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>hrough</w:t>
            </w:r>
            <w:r w:rsidR="009A286E">
              <w:rPr>
                <w:rFonts w:ascii="Calibri" w:eastAsia="Calibri" w:hAnsi="Calibri" w:cs="Calibri"/>
                <w:color w:val="000000"/>
              </w:rPr>
              <w:t xml:space="preserve"> either announced or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 xml:space="preserve"> unannounced monitoring visit</w:t>
            </w:r>
            <w:r w:rsidR="009A286E"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 xml:space="preserve">with the </w:t>
            </w:r>
            <w:r w:rsidR="009A286E">
              <w:rPr>
                <w:rFonts w:ascii="Calibri" w:eastAsia="Calibri" w:hAnsi="Calibri" w:cs="Calibri"/>
                <w:color w:val="000000"/>
              </w:rPr>
              <w:t>various sectors/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>department</w:t>
            </w:r>
            <w:r w:rsidR="009A286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>or s</w:t>
            </w:r>
            <w:r w:rsidR="009A286E">
              <w:rPr>
                <w:rFonts w:ascii="Calibri" w:eastAsia="Calibri" w:hAnsi="Calibri" w:cs="Calibri"/>
                <w:color w:val="000000"/>
              </w:rPr>
              <w:t xml:space="preserve">ervices points 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 xml:space="preserve">that have close interaction with citizens.  </w:t>
            </w:r>
          </w:p>
          <w:p w14:paraId="0CA20B07" w14:textId="3CA41A5F" w:rsidR="009A286E" w:rsidRDefault="009B7CCC" w:rsidP="002039B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A286E">
              <w:rPr>
                <w:rFonts w:ascii="Calibri" w:eastAsia="Calibri" w:hAnsi="Calibri" w:cs="Calibri"/>
                <w:color w:val="000000"/>
              </w:rPr>
              <w:t>Emphasis is placed on</w:t>
            </w:r>
            <w:r w:rsidR="002039BF" w:rsidRPr="002039BF">
              <w:rPr>
                <w:rFonts w:ascii="Calibri" w:eastAsia="Calibri" w:hAnsi="Calibri" w:cs="Calibri"/>
                <w:color w:val="000000"/>
              </w:rPr>
              <w:t xml:space="preserve"> physically verifying reported </w:t>
            </w:r>
            <w:r w:rsidRPr="002039BF">
              <w:rPr>
                <w:rFonts w:ascii="Calibri" w:eastAsia="Calibri" w:hAnsi="Calibri" w:cs="Calibri"/>
                <w:color w:val="000000"/>
              </w:rPr>
              <w:t>results</w:t>
            </w:r>
            <w:r>
              <w:rPr>
                <w:rFonts w:ascii="Calibri" w:eastAsia="Calibri" w:hAnsi="Calibri" w:cs="Calibri"/>
                <w:color w:val="000000"/>
              </w:rPr>
              <w:t>, collecting information from</w:t>
            </w:r>
            <w:r w:rsidR="002039BF" w:rsidRPr="002039BF">
              <w:rPr>
                <w:rFonts w:ascii="Calibri" w:eastAsia="Calibri" w:hAnsi="Calibri" w:cs="Calibri"/>
                <w:color w:val="000000"/>
              </w:rPr>
              <w:t xml:space="preserve"> multiple sources, namely users, 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staff, </w:t>
            </w:r>
            <w:r>
              <w:rPr>
                <w:rFonts w:ascii="Calibri" w:eastAsia="Calibri" w:hAnsi="Calibri" w:cs="Calibri"/>
                <w:color w:val="000000"/>
              </w:rPr>
              <w:t xml:space="preserve">and </w:t>
            </w:r>
            <w:r w:rsidR="002039BF" w:rsidRPr="002039BF">
              <w:rPr>
                <w:rFonts w:ascii="Calibri" w:eastAsia="Calibri" w:hAnsi="Calibri" w:cs="Calibri"/>
                <w:color w:val="000000"/>
              </w:rPr>
              <w:t>monitors</w:t>
            </w:r>
            <w:r>
              <w:rPr>
                <w:rFonts w:ascii="Calibri" w:eastAsia="Calibri" w:hAnsi="Calibri" w:cs="Calibri"/>
                <w:color w:val="000000"/>
              </w:rPr>
              <w:t xml:space="preserve">. Improvements are facilitated </w:t>
            </w:r>
            <w:r w:rsidR="009A286E">
              <w:rPr>
                <w:rFonts w:ascii="Calibri" w:eastAsia="Calibri" w:hAnsi="Calibri" w:cs="Calibri"/>
                <w:color w:val="000000"/>
              </w:rPr>
              <w:t>by</w:t>
            </w:r>
            <w:r w:rsidR="009A286E" w:rsidRPr="002039BF">
              <w:rPr>
                <w:rFonts w:ascii="Calibri" w:eastAsia="Calibri" w:hAnsi="Calibri" w:cs="Calibri"/>
                <w:color w:val="000000"/>
              </w:rPr>
              <w:t xml:space="preserve"> use</w:t>
            </w:r>
            <w:r>
              <w:rPr>
                <w:rFonts w:ascii="Calibri" w:eastAsia="Calibri" w:hAnsi="Calibri" w:cs="Calibri"/>
                <w:color w:val="000000"/>
              </w:rPr>
              <w:t xml:space="preserve"> of</w:t>
            </w:r>
            <w:r w:rsidR="002039BF" w:rsidRPr="002039BF">
              <w:rPr>
                <w:rFonts w:ascii="Calibri" w:eastAsia="Calibri" w:hAnsi="Calibri" w:cs="Calibri"/>
                <w:color w:val="000000"/>
              </w:rPr>
              <w:t xml:space="preserve"> evidence collected at </w:t>
            </w:r>
            <w:r w:rsidR="009A286E">
              <w:rPr>
                <w:rFonts w:ascii="Calibri" w:eastAsia="Calibri" w:hAnsi="Calibri" w:cs="Calibri"/>
                <w:color w:val="000000"/>
              </w:rPr>
              <w:t>grassroot level.</w:t>
            </w:r>
            <w:r w:rsidR="002039BF" w:rsidRPr="002039B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570E427" w14:textId="77FEFFA3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>MILESTONES</w:t>
            </w:r>
          </w:p>
          <w:p w14:paraId="76ED82B5" w14:textId="0955AADB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 xml:space="preserve">The FSDM programme </w:t>
            </w:r>
            <w:r w:rsidR="009A286E">
              <w:rPr>
                <w:rFonts w:ascii="Calibri" w:eastAsia="Calibri" w:hAnsi="Calibri" w:cs="Calibri"/>
                <w:color w:val="000000"/>
              </w:rPr>
              <w:t>is a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progressive monitoring approach </w:t>
            </w:r>
            <w:r w:rsidR="003B4905">
              <w:rPr>
                <w:rFonts w:ascii="Calibri" w:eastAsia="Calibri" w:hAnsi="Calibri" w:cs="Calibri"/>
                <w:color w:val="000000"/>
              </w:rPr>
              <w:t>aimed at measuring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the frontline service delivery </w:t>
            </w:r>
            <w:r w:rsidR="003B4905" w:rsidRPr="002039BF">
              <w:rPr>
                <w:rFonts w:ascii="Calibri" w:eastAsia="Calibri" w:hAnsi="Calibri" w:cs="Calibri"/>
                <w:color w:val="000000"/>
              </w:rPr>
              <w:t xml:space="preserve">at </w:t>
            </w:r>
            <w:r w:rsidR="003B4905">
              <w:rPr>
                <w:rFonts w:ascii="Calibri" w:eastAsia="Calibri" w:hAnsi="Calibri" w:cs="Calibri"/>
                <w:color w:val="000000"/>
              </w:rPr>
              <w:t>coalface of service delivery. It</w:t>
            </w:r>
            <w:r w:rsidR="001F6AA1">
              <w:rPr>
                <w:rFonts w:ascii="Calibri" w:eastAsia="Calibri" w:hAnsi="Calibri" w:cs="Calibri"/>
                <w:color w:val="000000"/>
              </w:rPr>
              <w:t>s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 blueprint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i</w:t>
            </w:r>
            <w:r w:rsidR="003B4905">
              <w:rPr>
                <w:rFonts w:ascii="Calibri" w:eastAsia="Calibri" w:hAnsi="Calibri" w:cs="Calibri"/>
                <w:color w:val="000000"/>
              </w:rPr>
              <w:t>s the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conceptual framework of the FSDM programme</w:t>
            </w:r>
            <w:r w:rsidR="001F6AA1">
              <w:rPr>
                <w:rFonts w:ascii="Calibri" w:eastAsia="Calibri" w:hAnsi="Calibri" w:cs="Calibri"/>
                <w:color w:val="000000"/>
              </w:rPr>
              <w:t xml:space="preserve"> and </w:t>
            </w:r>
            <w:r w:rsidRPr="002039BF">
              <w:rPr>
                <w:rFonts w:ascii="Calibri" w:eastAsia="Calibri" w:hAnsi="Calibri" w:cs="Calibri"/>
                <w:color w:val="000000"/>
              </w:rPr>
              <w:t>Batho Pele Principle Policy Framework</w:t>
            </w:r>
            <w:r w:rsidR="001F6AA1">
              <w:rPr>
                <w:rFonts w:ascii="Calibri" w:eastAsia="Calibri" w:hAnsi="Calibri" w:cs="Calibri"/>
                <w:color w:val="000000"/>
              </w:rPr>
              <w:t>. It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assesses selected specific service delivery indicators of monitored departments as defined in the Medium-Term Strategic Framework (MTSF). </w:t>
            </w:r>
          </w:p>
          <w:p w14:paraId="10BC5218" w14:textId="77777777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>CHALLENGES</w:t>
            </w:r>
          </w:p>
          <w:p w14:paraId="23A60B68" w14:textId="229BDB71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 xml:space="preserve"> Frontline Service Delivery Monitoring (FSDM) as a programme that monitors the effect of policy on service delivery at the coalface of service delivery, i.e., Service delivery sites challenges arose during the pandemic, necessitating a shift to the Frontline Monitoring and Support (FM&amp;S) introducing Project Management Approach (PMA) initiated in response to COVID-19 vaccination rollout needs.</w:t>
            </w:r>
          </w:p>
          <w:p w14:paraId="34106076" w14:textId="405BD67B" w:rsidR="002039BF" w:rsidRPr="002039BF" w:rsidRDefault="002039BF" w:rsidP="002039BF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>The key objective to introduce the PMA was to enhance the monitoring and reporting activities on the MTSF priorities and fast-track service delivery improvements focusing on one project at a time aligned with the MTSF, enabling quick monitoring results and informing decision-making.</w:t>
            </w:r>
          </w:p>
          <w:p w14:paraId="735153E0" w14:textId="77777777" w:rsidR="002039BF" w:rsidRPr="002039BF" w:rsidRDefault="002039BF" w:rsidP="002039BF">
            <w:pPr>
              <w:tabs>
                <w:tab w:val="left" w:pos="1770"/>
              </w:tabs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>CONCLUSION</w:t>
            </w:r>
            <w:r w:rsidRPr="002039BF">
              <w:rPr>
                <w:rFonts w:ascii="Calibri" w:eastAsia="Calibri" w:hAnsi="Calibri" w:cs="Calibri"/>
                <w:b/>
                <w:bCs/>
                <w:color w:val="000000"/>
              </w:rPr>
              <w:tab/>
            </w:r>
          </w:p>
          <w:p w14:paraId="120B9D62" w14:textId="19E062B2" w:rsidR="002039BF" w:rsidRPr="002039BF" w:rsidRDefault="002039BF" w:rsidP="002039BF">
            <w:pPr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2039BF">
              <w:rPr>
                <w:rFonts w:ascii="Calibri" w:eastAsia="Calibri" w:hAnsi="Calibri" w:cs="Calibri"/>
                <w:color w:val="000000"/>
              </w:rPr>
              <w:t xml:space="preserve"> FSDM </w:t>
            </w:r>
            <w:r w:rsidR="009A286E">
              <w:rPr>
                <w:rFonts w:ascii="Calibri" w:eastAsia="Calibri" w:hAnsi="Calibri" w:cs="Calibri"/>
                <w:color w:val="000000"/>
              </w:rPr>
              <w:t xml:space="preserve">had to adopt its approach so that it remained relevant. Its new approach facilitated its </w:t>
            </w:r>
            <w:r>
              <w:rPr>
                <w:rFonts w:ascii="Calibri" w:eastAsia="Calibri" w:hAnsi="Calibri" w:cs="Calibri"/>
                <w:color w:val="000000"/>
              </w:rPr>
              <w:t>contribut</w:t>
            </w:r>
            <w:r w:rsidR="009A286E">
              <w:rPr>
                <w:rFonts w:ascii="Calibri" w:eastAsia="Calibri" w:hAnsi="Calibri" w:cs="Calibri"/>
                <w:color w:val="000000"/>
              </w:rPr>
              <w:t>ion</w:t>
            </w:r>
            <w:r w:rsidRPr="002039BF">
              <w:rPr>
                <w:rFonts w:ascii="Calibri" w:eastAsia="Calibri" w:hAnsi="Calibri" w:cs="Calibri"/>
                <w:color w:val="000000"/>
              </w:rPr>
              <w:t xml:space="preserve"> to 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the goals set in the National Development </w:t>
            </w:r>
            <w:r w:rsidR="001F6AA1">
              <w:rPr>
                <w:rFonts w:ascii="Calibri" w:eastAsia="Calibri" w:hAnsi="Calibri" w:cs="Calibri"/>
                <w:color w:val="000000"/>
              </w:rPr>
              <w:t>Plan (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NDP). Real time monitoring can easily </w:t>
            </w:r>
            <w:r w:rsidR="001F6AA1">
              <w:rPr>
                <w:rFonts w:ascii="Calibri" w:eastAsia="Calibri" w:hAnsi="Calibri" w:cs="Calibri"/>
                <w:color w:val="000000"/>
              </w:rPr>
              <w:t>source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 through the FSDM </w:t>
            </w:r>
            <w:r w:rsidR="001F6AA1">
              <w:rPr>
                <w:rFonts w:ascii="Calibri" w:eastAsia="Calibri" w:hAnsi="Calibri" w:cs="Calibri"/>
                <w:color w:val="000000"/>
              </w:rPr>
              <w:t>project-based</w:t>
            </w:r>
            <w:r w:rsidR="003B4905">
              <w:rPr>
                <w:rFonts w:ascii="Calibri" w:eastAsia="Calibri" w:hAnsi="Calibri" w:cs="Calibri"/>
                <w:color w:val="000000"/>
              </w:rPr>
              <w:t xml:space="preserve"> approach.</w:t>
            </w:r>
          </w:p>
        </w:tc>
      </w:tr>
    </w:tbl>
    <w:p w14:paraId="64E196C4" w14:textId="77777777" w:rsidR="002039BF" w:rsidRPr="002039BF" w:rsidRDefault="002039BF" w:rsidP="002039BF">
      <w:pPr>
        <w:rPr>
          <w:rFonts w:ascii="Calibri Light" w:eastAsia="Calibri" w:hAnsi="Calibri Light" w:cs="Calibri Light"/>
          <w:color w:val="000000"/>
          <w:lang w:val="en-US"/>
        </w:rPr>
      </w:pPr>
    </w:p>
    <w:p w14:paraId="4078082F" w14:textId="77777777" w:rsidR="00123C1D" w:rsidRDefault="00123C1D"/>
    <w:sectPr w:rsidR="00123C1D" w:rsidSect="00E7518F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082E" w14:textId="77777777" w:rsidR="00FE3EA0" w:rsidRDefault="00FE3EA0">
      <w:pPr>
        <w:spacing w:after="0" w:line="240" w:lineRule="auto"/>
      </w:pPr>
      <w:r>
        <w:separator/>
      </w:r>
    </w:p>
  </w:endnote>
  <w:endnote w:type="continuationSeparator" w:id="0">
    <w:p w14:paraId="1BC599FC" w14:textId="77777777" w:rsidR="00FE3EA0" w:rsidRDefault="00F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8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1BCE3" w14:textId="77777777" w:rsidR="00F15124" w:rsidRDefault="00920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982894" w14:textId="77777777" w:rsidR="00F15124" w:rsidRDefault="00FE3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C1B1" w14:textId="77777777" w:rsidR="00FE3EA0" w:rsidRDefault="00FE3EA0">
      <w:pPr>
        <w:spacing w:after="0" w:line="240" w:lineRule="auto"/>
      </w:pPr>
      <w:r>
        <w:separator/>
      </w:r>
    </w:p>
  </w:footnote>
  <w:footnote w:type="continuationSeparator" w:id="0">
    <w:p w14:paraId="410DA2DB" w14:textId="77777777" w:rsidR="00FE3EA0" w:rsidRDefault="00FE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082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2232" w:hanging="432"/>
      </w:pPr>
    </w:lvl>
    <w:lvl w:ilvl="1">
      <w:start w:val="1"/>
      <w:numFmt w:val="decimal"/>
      <w:pStyle w:val="Heading2"/>
      <w:lvlText w:val="%1.%2"/>
      <w:lvlJc w:val="left"/>
      <w:pPr>
        <w:ind w:left="9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F"/>
    <w:rsid w:val="00057389"/>
    <w:rsid w:val="000C0E29"/>
    <w:rsid w:val="00123C1D"/>
    <w:rsid w:val="001F6AA1"/>
    <w:rsid w:val="002039BF"/>
    <w:rsid w:val="003B4905"/>
    <w:rsid w:val="003E1857"/>
    <w:rsid w:val="00450286"/>
    <w:rsid w:val="00662841"/>
    <w:rsid w:val="00687ADA"/>
    <w:rsid w:val="006D38D9"/>
    <w:rsid w:val="00812222"/>
    <w:rsid w:val="009204B1"/>
    <w:rsid w:val="009513D1"/>
    <w:rsid w:val="009A286E"/>
    <w:rsid w:val="009B7CCC"/>
    <w:rsid w:val="00A44400"/>
    <w:rsid w:val="00A87F12"/>
    <w:rsid w:val="00B26D39"/>
    <w:rsid w:val="00BF6A70"/>
    <w:rsid w:val="00EB7E9B"/>
    <w:rsid w:val="00F6619B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524F7"/>
  <w15:chartTrackingRefBased/>
  <w15:docId w15:val="{CC19E4C0-11FE-4FBC-8692-9936681C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A7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A7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6A7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7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7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A7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7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7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7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9BF"/>
  </w:style>
  <w:style w:type="table" w:customStyle="1" w:styleId="TableGrid1">
    <w:name w:val="Table Grid1"/>
    <w:basedOn w:val="TableNormal"/>
    <w:next w:val="TableGrid"/>
    <w:uiPriority w:val="39"/>
    <w:rsid w:val="002039BF"/>
    <w:pPr>
      <w:spacing w:after="0" w:line="240" w:lineRule="auto"/>
      <w:ind w:left="101" w:right="101"/>
    </w:pPr>
    <w:rPr>
      <w:color w:val="44546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F6A70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A70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F6A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6A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F6A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7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70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A7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70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EB7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motsep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tsie@dpme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Mantsie Motsepe, DPME</dc:creator>
  <cp:keywords/>
  <dc:description/>
  <cp:lastModifiedBy>Mantsie Motsepe, DPME</cp:lastModifiedBy>
  <cp:revision>4</cp:revision>
  <dcterms:created xsi:type="dcterms:W3CDTF">2024-07-05T20:39:00Z</dcterms:created>
  <dcterms:modified xsi:type="dcterms:W3CDTF">2024-07-05T21:03:00Z</dcterms:modified>
</cp:coreProperties>
</file>