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4E61A" w14:textId="342313AF" w:rsidR="001C7BB0" w:rsidRPr="00385CB6" w:rsidRDefault="00E94480" w:rsidP="00385CB6">
      <w:pPr>
        <w:rPr>
          <w:b/>
          <w:bCs/>
          <w:sz w:val="28"/>
          <w:szCs w:val="28"/>
          <w:lang w:val="en-GB"/>
        </w:rPr>
      </w:pPr>
      <w:r w:rsidRPr="00385CB6">
        <w:rPr>
          <w:b/>
          <w:bCs/>
          <w:sz w:val="28"/>
          <w:szCs w:val="28"/>
          <w:lang w:val="en-GB"/>
        </w:rPr>
        <w:t>Workshop on NES Assessment Tools (MESA, INCE)</w:t>
      </w:r>
      <w:r w:rsidR="00385CB6" w:rsidRPr="00385CB6">
        <w:rPr>
          <w:b/>
          <w:bCs/>
          <w:sz w:val="28"/>
          <w:szCs w:val="28"/>
          <w:lang w:val="en-GB"/>
        </w:rPr>
        <w:t xml:space="preserve"> - </w:t>
      </w:r>
      <w:r w:rsidR="001C7BB0" w:rsidRPr="00385CB6">
        <w:rPr>
          <w:sz w:val="28"/>
          <w:szCs w:val="28"/>
          <w:lang w:val="en-GB"/>
        </w:rPr>
        <w:t>Concept note</w:t>
      </w:r>
    </w:p>
    <w:p w14:paraId="0D234E56" w14:textId="6CFFB64A" w:rsidR="0074119C" w:rsidRPr="00385CB6" w:rsidRDefault="0074119C" w:rsidP="007320FF">
      <w:pPr>
        <w:jc w:val="both"/>
        <w:rPr>
          <w:b/>
          <w:bCs/>
          <w:lang w:val="en-GB"/>
        </w:rPr>
      </w:pPr>
      <w:r w:rsidRPr="00385CB6">
        <w:rPr>
          <w:b/>
          <w:bCs/>
          <w:lang w:val="en-GB"/>
        </w:rPr>
        <w:t>Titel</w:t>
      </w:r>
    </w:p>
    <w:p w14:paraId="29E37244" w14:textId="6854EB26" w:rsidR="0074119C" w:rsidRDefault="0074119C" w:rsidP="007320FF">
      <w:pPr>
        <w:jc w:val="both"/>
        <w:rPr>
          <w:lang w:val="en-GB"/>
        </w:rPr>
      </w:pPr>
      <w:r>
        <w:rPr>
          <w:lang w:val="en-GB"/>
        </w:rPr>
        <w:t>Monitoring and evaluation systems assessment tools</w:t>
      </w:r>
    </w:p>
    <w:p w14:paraId="55F73EA2" w14:textId="44308305" w:rsidR="0074119C" w:rsidRPr="00385CB6" w:rsidRDefault="0074119C" w:rsidP="007320FF">
      <w:pPr>
        <w:jc w:val="both"/>
        <w:rPr>
          <w:b/>
          <w:bCs/>
          <w:lang w:val="en-GB"/>
        </w:rPr>
      </w:pPr>
      <w:r w:rsidRPr="00385CB6">
        <w:rPr>
          <w:b/>
          <w:bCs/>
          <w:lang w:val="en-GB"/>
        </w:rPr>
        <w:t>Introduction</w:t>
      </w:r>
    </w:p>
    <w:p w14:paraId="7D57D970" w14:textId="7F600C23" w:rsidR="0074119C" w:rsidRPr="00E47DDA" w:rsidRDefault="00E47DDA" w:rsidP="007320FF">
      <w:pPr>
        <w:jc w:val="both"/>
        <w:rPr>
          <w:lang w:val="en-GB"/>
        </w:rPr>
      </w:pPr>
      <w:r w:rsidRPr="00E47DDA">
        <w:rPr>
          <w:lang w:val="en-GB"/>
        </w:rPr>
        <w:t xml:space="preserve">This training session aims to provide a comprehensive understanding of national evaluation systems by </w:t>
      </w:r>
      <w:r w:rsidR="001D2929" w:rsidRPr="00E47DDA">
        <w:rPr>
          <w:lang w:val="en-GB"/>
        </w:rPr>
        <w:t>analysing</w:t>
      </w:r>
      <w:r w:rsidRPr="00E47DDA">
        <w:rPr>
          <w:lang w:val="en-GB"/>
        </w:rPr>
        <w:t xml:space="preserve"> their main components, relationships and overall capacity. </w:t>
      </w:r>
      <w:r w:rsidR="007320FF">
        <w:rPr>
          <w:lang w:val="en-GB"/>
        </w:rPr>
        <w:t xml:space="preserve"> It is t</w:t>
      </w:r>
      <w:r w:rsidRPr="00E47DDA">
        <w:rPr>
          <w:lang w:val="en-GB"/>
        </w:rPr>
        <w:t>argeted at public sector staff, international organization professionals, and academia and civil society members involved in M&amp;E</w:t>
      </w:r>
      <w:r w:rsidR="007320FF">
        <w:rPr>
          <w:lang w:val="en-GB"/>
        </w:rPr>
        <w:t>.</w:t>
      </w:r>
      <w:r w:rsidRPr="00E47DDA">
        <w:rPr>
          <w:lang w:val="en-GB"/>
        </w:rPr>
        <w:t xml:space="preserve"> </w:t>
      </w:r>
      <w:r w:rsidR="007320FF">
        <w:rPr>
          <w:lang w:val="en-GB"/>
        </w:rPr>
        <w:t>T</w:t>
      </w:r>
      <w:r w:rsidRPr="00E47DDA">
        <w:rPr>
          <w:lang w:val="en-GB"/>
        </w:rPr>
        <w:t>he workshop will cover key elements</w:t>
      </w:r>
      <w:r w:rsidR="007320FF">
        <w:rPr>
          <w:lang w:val="en-GB"/>
        </w:rPr>
        <w:t xml:space="preserve"> of</w:t>
      </w:r>
      <w:r w:rsidRPr="00E47DDA">
        <w:rPr>
          <w:lang w:val="en-GB"/>
        </w:rPr>
        <w:t xml:space="preserve"> diagnostic tools like MESA and INCE, </w:t>
      </w:r>
      <w:r w:rsidR="007320FF">
        <w:rPr>
          <w:lang w:val="en-GB"/>
        </w:rPr>
        <w:t>including</w:t>
      </w:r>
      <w:r w:rsidRPr="00E47DDA">
        <w:rPr>
          <w:lang w:val="en-GB"/>
        </w:rPr>
        <w:t xml:space="preserve"> real-world application experiences. Participants will gain insights into their roles within the system and learn to effectively communicate the importance of diagnostic tools for system improvement to decision-makers.</w:t>
      </w:r>
    </w:p>
    <w:p w14:paraId="30B54F69" w14:textId="0B471275" w:rsidR="00E94480" w:rsidRPr="00385CB6" w:rsidRDefault="00A95DDA" w:rsidP="007320FF">
      <w:pPr>
        <w:jc w:val="both"/>
        <w:rPr>
          <w:b/>
          <w:bCs/>
          <w:lang w:val="en-GB"/>
        </w:rPr>
      </w:pPr>
      <w:r w:rsidRPr="00385CB6">
        <w:rPr>
          <w:b/>
          <w:bCs/>
          <w:lang w:val="en-GB"/>
        </w:rPr>
        <w:t>Objective</w:t>
      </w:r>
    </w:p>
    <w:p w14:paraId="65EA7143" w14:textId="02BD7867" w:rsidR="00A95DDA" w:rsidRDefault="00A95DDA" w:rsidP="007320FF">
      <w:pPr>
        <w:jc w:val="both"/>
        <w:rPr>
          <w:lang w:val="en-GB"/>
        </w:rPr>
      </w:pPr>
      <w:r w:rsidRPr="00A95DDA">
        <w:rPr>
          <w:lang w:val="en-GB"/>
        </w:rPr>
        <w:t xml:space="preserve">To comprehensively understand the functioning of national evaluation systems by identifying and </w:t>
      </w:r>
      <w:r w:rsidR="001D2929" w:rsidRPr="00A95DDA">
        <w:rPr>
          <w:lang w:val="en-GB"/>
        </w:rPr>
        <w:t>analysing</w:t>
      </w:r>
      <w:r w:rsidRPr="00A95DDA">
        <w:rPr>
          <w:lang w:val="en-GB"/>
        </w:rPr>
        <w:t xml:space="preserve"> their main components, elucidating the relationships between these components, and assessing the overall capacity and effectiveness of the system as a whole.</w:t>
      </w:r>
    </w:p>
    <w:p w14:paraId="45BC2820" w14:textId="339F5901" w:rsidR="00A95DDA" w:rsidRPr="00385CB6" w:rsidRDefault="00A95DDA" w:rsidP="007320FF">
      <w:pPr>
        <w:jc w:val="both"/>
        <w:rPr>
          <w:b/>
          <w:bCs/>
          <w:lang w:val="en-GB"/>
        </w:rPr>
      </w:pPr>
      <w:r w:rsidRPr="00385CB6">
        <w:rPr>
          <w:b/>
          <w:bCs/>
          <w:lang w:val="en-GB"/>
        </w:rPr>
        <w:t>Participant´s profile</w:t>
      </w:r>
    </w:p>
    <w:p w14:paraId="0BE9CC62" w14:textId="77777777" w:rsidR="001C7BB0" w:rsidRPr="001C7BB0" w:rsidRDefault="001C7BB0" w:rsidP="007320FF">
      <w:pPr>
        <w:pStyle w:val="Listenabsatz"/>
        <w:numPr>
          <w:ilvl w:val="0"/>
          <w:numId w:val="1"/>
        </w:numPr>
        <w:jc w:val="both"/>
        <w:rPr>
          <w:lang w:val="en-GB"/>
        </w:rPr>
      </w:pPr>
      <w:r w:rsidRPr="001C7BB0">
        <w:rPr>
          <w:lang w:val="en-GB"/>
        </w:rPr>
        <w:t>Public Sector Staff: Individuals working within the public sector who are connected to the Monitoring and Evaluation (M&amp;E) system.</w:t>
      </w:r>
    </w:p>
    <w:p w14:paraId="2EF0534B" w14:textId="77777777" w:rsidR="001C7BB0" w:rsidRPr="001C7BB0" w:rsidRDefault="001C7BB0" w:rsidP="007320FF">
      <w:pPr>
        <w:pStyle w:val="Listenabsatz"/>
        <w:numPr>
          <w:ilvl w:val="0"/>
          <w:numId w:val="1"/>
        </w:numPr>
        <w:jc w:val="both"/>
        <w:rPr>
          <w:lang w:val="en-GB"/>
        </w:rPr>
      </w:pPr>
      <w:r w:rsidRPr="001C7BB0">
        <w:rPr>
          <w:lang w:val="en-GB"/>
        </w:rPr>
        <w:t>International Organization Staff: Professionals from international organizations who are involved in Evaluation Capacity Development (ECD).</w:t>
      </w:r>
    </w:p>
    <w:p w14:paraId="02F645CE" w14:textId="380AE801" w:rsidR="00A95DDA" w:rsidRDefault="001C7BB0" w:rsidP="007320FF">
      <w:pPr>
        <w:pStyle w:val="Listenabsatz"/>
        <w:numPr>
          <w:ilvl w:val="0"/>
          <w:numId w:val="1"/>
        </w:numPr>
        <w:jc w:val="both"/>
        <w:rPr>
          <w:lang w:val="en-GB"/>
        </w:rPr>
      </w:pPr>
      <w:r w:rsidRPr="001C7BB0">
        <w:rPr>
          <w:lang w:val="en-GB"/>
        </w:rPr>
        <w:t>Academia and Civil Society Staff: Members of academic institutions and civil society organizations who are engaged in or linked to Monitoring and Evaluation (M&amp;E) activities.</w:t>
      </w:r>
    </w:p>
    <w:p w14:paraId="46B4F783" w14:textId="03263A28" w:rsidR="00546E99" w:rsidRPr="00385CB6" w:rsidRDefault="00546E99" w:rsidP="007320FF">
      <w:pPr>
        <w:jc w:val="both"/>
        <w:rPr>
          <w:b/>
          <w:bCs/>
          <w:lang w:val="en-GB"/>
        </w:rPr>
      </w:pPr>
      <w:r w:rsidRPr="00385CB6">
        <w:rPr>
          <w:b/>
          <w:bCs/>
          <w:lang w:val="en-GB"/>
        </w:rPr>
        <w:t xml:space="preserve">Content and structure </w:t>
      </w:r>
    </w:p>
    <w:p w14:paraId="7A19BBD6" w14:textId="55344EA0" w:rsidR="00953C6C" w:rsidRPr="00953C6C" w:rsidRDefault="00953C6C" w:rsidP="007320FF">
      <w:pPr>
        <w:jc w:val="both"/>
        <w:rPr>
          <w:lang w:val="en-GB"/>
        </w:rPr>
      </w:pPr>
      <w:r w:rsidRPr="00953C6C">
        <w:rPr>
          <w:lang w:val="en-GB"/>
        </w:rPr>
        <w:t>The workshop will commence with an in-depth explanation of the key elements of a monitoring and evaluation (M&amp;E) system. This will cover the structures, actors, and the relationships between them. Participants will engage in identifying the roles their respective institutions play within the system and will reflect on the ideal functions each group should fulfil for an effective M&amp;E system.</w:t>
      </w:r>
    </w:p>
    <w:p w14:paraId="0A7656FA" w14:textId="35D10244" w:rsidR="00953C6C" w:rsidRPr="00953C6C" w:rsidRDefault="00953C6C" w:rsidP="007320FF">
      <w:pPr>
        <w:jc w:val="both"/>
        <w:rPr>
          <w:lang w:val="en-GB"/>
        </w:rPr>
      </w:pPr>
      <w:r w:rsidRPr="00953C6C">
        <w:rPr>
          <w:lang w:val="en-GB"/>
        </w:rPr>
        <w:t xml:space="preserve">In the second segment, the MESA and INCE will be introduced as diagnostic tools to describe and measure the capacities of M&amp;E systems. Participants will have the opportunity to compare these instruments with other similar tools used in their countries or with their own experiences in applying MESA or INCE. The session will highlight the complementarity of </w:t>
      </w:r>
      <w:r>
        <w:rPr>
          <w:lang w:val="en-GB"/>
        </w:rPr>
        <w:t>these</w:t>
      </w:r>
      <w:r w:rsidRPr="00953C6C">
        <w:rPr>
          <w:lang w:val="en-GB"/>
        </w:rPr>
        <w:t xml:space="preserve"> diagnostic tools.</w:t>
      </w:r>
    </w:p>
    <w:p w14:paraId="6375F437" w14:textId="1AE73DD8" w:rsidR="00C928E8" w:rsidRPr="000D0318" w:rsidRDefault="00BF4591" w:rsidP="00C928E8">
      <w:pPr>
        <w:pStyle w:val="Standard1"/>
        <w:rPr>
          <w:lang w:val="en-US"/>
        </w:rPr>
      </w:pPr>
      <w:r>
        <w:rPr>
          <w:rStyle w:val="Absatz-Standardschriftart1"/>
          <w:lang w:val="en-GB"/>
        </w:rPr>
        <w:t xml:space="preserve">Box1. </w:t>
      </w:r>
      <w:r w:rsidR="00C928E8">
        <w:rPr>
          <w:rStyle w:val="Absatz-Standardschriftart1"/>
          <w:lang w:val="en-GB"/>
        </w:rPr>
        <w:t xml:space="preserve">Highlighting the complementarity of INCE and MESA: </w:t>
      </w:r>
    </w:p>
    <w:tbl>
      <w:tblPr>
        <w:tblW w:w="9062" w:type="dxa"/>
        <w:tblCellMar>
          <w:left w:w="10" w:type="dxa"/>
          <w:right w:w="10" w:type="dxa"/>
        </w:tblCellMar>
        <w:tblLook w:val="04A0" w:firstRow="1" w:lastRow="0" w:firstColumn="1" w:lastColumn="0" w:noHBand="0" w:noVBand="1"/>
      </w:tblPr>
      <w:tblGrid>
        <w:gridCol w:w="1838"/>
        <w:gridCol w:w="3119"/>
        <w:gridCol w:w="4105"/>
      </w:tblGrid>
      <w:tr w:rsidR="00C928E8" w14:paraId="4DF46275" w14:textId="77777777" w:rsidTr="009C19F3">
        <w:tc>
          <w:tcPr>
            <w:tcW w:w="9062" w:type="dxa"/>
            <w:gridSpan w:val="3"/>
            <w:tcBorders>
              <w:top w:val="single" w:sz="4" w:space="0" w:color="156082"/>
              <w:left w:val="single" w:sz="4" w:space="0" w:color="156082"/>
              <w:bottom w:val="single" w:sz="4" w:space="0" w:color="156082"/>
              <w:right w:val="single" w:sz="4" w:space="0" w:color="156082"/>
            </w:tcBorders>
            <w:shd w:val="clear" w:color="auto" w:fill="156082"/>
            <w:tcMar>
              <w:top w:w="0" w:type="dxa"/>
              <w:left w:w="108" w:type="dxa"/>
              <w:bottom w:w="0" w:type="dxa"/>
              <w:right w:w="108" w:type="dxa"/>
            </w:tcMar>
            <w:hideMark/>
          </w:tcPr>
          <w:p w14:paraId="3F26C8DB" w14:textId="77777777" w:rsidR="00C928E8" w:rsidRDefault="00C928E8" w:rsidP="009C19F3">
            <w:pPr>
              <w:pStyle w:val="Standard1"/>
              <w:spacing w:after="0" w:line="240" w:lineRule="auto"/>
              <w:jc w:val="center"/>
              <w:rPr>
                <w:b/>
                <w:bCs/>
                <w:color w:val="FFFFFF"/>
                <w:lang w:val="en-GB"/>
              </w:rPr>
            </w:pPr>
            <w:r>
              <w:rPr>
                <w:b/>
                <w:bCs/>
                <w:color w:val="FFFFFF"/>
                <w:lang w:val="en-GB"/>
              </w:rPr>
              <w:t>Complementarities</w:t>
            </w:r>
          </w:p>
        </w:tc>
      </w:tr>
      <w:tr w:rsidR="00C928E8" w14:paraId="76638823" w14:textId="77777777" w:rsidTr="009C19F3">
        <w:tc>
          <w:tcPr>
            <w:tcW w:w="1838" w:type="dxa"/>
            <w:tcBorders>
              <w:top w:val="single" w:sz="4" w:space="0" w:color="45B0E1"/>
              <w:left w:val="single" w:sz="4" w:space="0" w:color="45B0E1"/>
              <w:bottom w:val="single" w:sz="4" w:space="0" w:color="45B0E1"/>
              <w:right w:val="single" w:sz="4" w:space="0" w:color="45B0E1"/>
            </w:tcBorders>
            <w:shd w:val="clear" w:color="auto" w:fill="C1E4F5"/>
            <w:tcMar>
              <w:top w:w="0" w:type="dxa"/>
              <w:left w:w="108" w:type="dxa"/>
              <w:bottom w:w="0" w:type="dxa"/>
              <w:right w:w="108" w:type="dxa"/>
            </w:tcMar>
          </w:tcPr>
          <w:p w14:paraId="337207BC" w14:textId="77777777" w:rsidR="00C928E8" w:rsidRDefault="00C928E8" w:rsidP="009C19F3">
            <w:pPr>
              <w:pStyle w:val="Standard1"/>
              <w:spacing w:after="0" w:line="240" w:lineRule="auto"/>
              <w:rPr>
                <w:b/>
                <w:bCs/>
                <w:lang w:val="en-GB"/>
              </w:rPr>
            </w:pPr>
          </w:p>
        </w:tc>
        <w:tc>
          <w:tcPr>
            <w:tcW w:w="3119" w:type="dxa"/>
            <w:tcBorders>
              <w:top w:val="single" w:sz="4" w:space="0" w:color="45B0E1"/>
              <w:left w:val="single" w:sz="4" w:space="0" w:color="45B0E1"/>
              <w:bottom w:val="single" w:sz="4" w:space="0" w:color="45B0E1"/>
              <w:right w:val="single" w:sz="4" w:space="0" w:color="45B0E1"/>
            </w:tcBorders>
            <w:shd w:val="clear" w:color="auto" w:fill="C1E4F5"/>
            <w:tcMar>
              <w:top w:w="0" w:type="dxa"/>
              <w:left w:w="108" w:type="dxa"/>
              <w:bottom w:w="0" w:type="dxa"/>
              <w:right w:w="108" w:type="dxa"/>
            </w:tcMar>
            <w:hideMark/>
          </w:tcPr>
          <w:p w14:paraId="389F79FC" w14:textId="77777777" w:rsidR="00C928E8" w:rsidRDefault="00C928E8" w:rsidP="009C19F3">
            <w:pPr>
              <w:pStyle w:val="Standard1"/>
              <w:spacing w:after="0" w:line="240" w:lineRule="auto"/>
              <w:rPr>
                <w:lang w:val="en-GB"/>
              </w:rPr>
            </w:pPr>
            <w:r>
              <w:rPr>
                <w:lang w:val="en-GB"/>
              </w:rPr>
              <w:t>INCE</w:t>
            </w:r>
          </w:p>
        </w:tc>
        <w:tc>
          <w:tcPr>
            <w:tcW w:w="4105" w:type="dxa"/>
            <w:tcBorders>
              <w:top w:val="single" w:sz="4" w:space="0" w:color="45B0E1"/>
              <w:left w:val="single" w:sz="4" w:space="0" w:color="45B0E1"/>
              <w:bottom w:val="single" w:sz="4" w:space="0" w:color="45B0E1"/>
              <w:right w:val="single" w:sz="4" w:space="0" w:color="45B0E1"/>
            </w:tcBorders>
            <w:shd w:val="clear" w:color="auto" w:fill="C1E4F5"/>
            <w:tcMar>
              <w:top w:w="0" w:type="dxa"/>
              <w:left w:w="108" w:type="dxa"/>
              <w:bottom w:w="0" w:type="dxa"/>
              <w:right w:w="108" w:type="dxa"/>
            </w:tcMar>
            <w:hideMark/>
          </w:tcPr>
          <w:p w14:paraId="59178559" w14:textId="77777777" w:rsidR="00C928E8" w:rsidRDefault="00C928E8" w:rsidP="009C19F3">
            <w:pPr>
              <w:pStyle w:val="Standard1"/>
              <w:spacing w:after="0" w:line="240" w:lineRule="auto"/>
              <w:rPr>
                <w:lang w:val="en-GB"/>
              </w:rPr>
            </w:pPr>
            <w:r>
              <w:rPr>
                <w:lang w:val="en-GB"/>
              </w:rPr>
              <w:t>MESA</w:t>
            </w:r>
          </w:p>
        </w:tc>
      </w:tr>
      <w:tr w:rsidR="00C928E8" w:rsidRPr="000D0318" w14:paraId="02BE1ED5" w14:textId="77777777" w:rsidTr="009C19F3">
        <w:tc>
          <w:tcPr>
            <w:tcW w:w="1838" w:type="dxa"/>
            <w:tcBorders>
              <w:top w:val="single" w:sz="4" w:space="0" w:color="45B0E1"/>
              <w:left w:val="single" w:sz="4" w:space="0" w:color="45B0E1"/>
              <w:bottom w:val="single" w:sz="4" w:space="0" w:color="45B0E1"/>
              <w:right w:val="single" w:sz="4" w:space="0" w:color="45B0E1"/>
            </w:tcBorders>
            <w:tcMar>
              <w:top w:w="0" w:type="dxa"/>
              <w:left w:w="108" w:type="dxa"/>
              <w:bottom w:w="0" w:type="dxa"/>
              <w:right w:w="108" w:type="dxa"/>
            </w:tcMar>
            <w:hideMark/>
          </w:tcPr>
          <w:p w14:paraId="636A9AA1" w14:textId="77777777" w:rsidR="00C928E8" w:rsidRDefault="00C928E8" w:rsidP="009C19F3">
            <w:pPr>
              <w:pStyle w:val="Standard1"/>
              <w:spacing w:after="0" w:line="240" w:lineRule="auto"/>
              <w:rPr>
                <w:b/>
                <w:bCs/>
                <w:lang w:val="en-GB"/>
              </w:rPr>
            </w:pPr>
            <w:r>
              <w:rPr>
                <w:b/>
                <w:bCs/>
                <w:lang w:val="en-GB"/>
              </w:rPr>
              <w:t>Focus</w:t>
            </w:r>
          </w:p>
        </w:tc>
        <w:tc>
          <w:tcPr>
            <w:tcW w:w="3119" w:type="dxa"/>
            <w:tcBorders>
              <w:top w:val="single" w:sz="4" w:space="0" w:color="45B0E1"/>
              <w:left w:val="single" w:sz="4" w:space="0" w:color="45B0E1"/>
              <w:bottom w:val="single" w:sz="4" w:space="0" w:color="45B0E1"/>
              <w:right w:val="single" w:sz="4" w:space="0" w:color="45B0E1"/>
            </w:tcBorders>
            <w:tcMar>
              <w:top w:w="0" w:type="dxa"/>
              <w:left w:w="108" w:type="dxa"/>
              <w:bottom w:w="0" w:type="dxa"/>
              <w:right w:w="108" w:type="dxa"/>
            </w:tcMar>
            <w:hideMark/>
          </w:tcPr>
          <w:p w14:paraId="0BBAEC55" w14:textId="77777777" w:rsidR="00C928E8" w:rsidRDefault="00C928E8" w:rsidP="009C19F3">
            <w:pPr>
              <w:pStyle w:val="Standard1"/>
              <w:spacing w:after="0" w:line="240" w:lineRule="auto"/>
              <w:rPr>
                <w:lang w:val="en-GB"/>
              </w:rPr>
            </w:pPr>
            <w:r>
              <w:rPr>
                <w:lang w:val="en-GB"/>
              </w:rPr>
              <w:t>Evaluation</w:t>
            </w:r>
          </w:p>
        </w:tc>
        <w:tc>
          <w:tcPr>
            <w:tcW w:w="4105" w:type="dxa"/>
            <w:tcBorders>
              <w:top w:val="single" w:sz="4" w:space="0" w:color="45B0E1"/>
              <w:left w:val="single" w:sz="4" w:space="0" w:color="45B0E1"/>
              <w:bottom w:val="single" w:sz="4" w:space="0" w:color="45B0E1"/>
              <w:right w:val="single" w:sz="4" w:space="0" w:color="45B0E1"/>
            </w:tcBorders>
            <w:tcMar>
              <w:top w:w="0" w:type="dxa"/>
              <w:left w:w="108" w:type="dxa"/>
              <w:bottom w:w="0" w:type="dxa"/>
              <w:right w:w="108" w:type="dxa"/>
            </w:tcMar>
            <w:hideMark/>
          </w:tcPr>
          <w:p w14:paraId="1D092431" w14:textId="184DB454" w:rsidR="00C928E8" w:rsidRDefault="00C928E8" w:rsidP="009C19F3">
            <w:pPr>
              <w:pStyle w:val="Standard1"/>
              <w:spacing w:after="0" w:line="240" w:lineRule="auto"/>
              <w:rPr>
                <w:lang w:val="en-GB"/>
              </w:rPr>
            </w:pPr>
            <w:r>
              <w:rPr>
                <w:lang w:val="en-GB"/>
              </w:rPr>
              <w:t>Planning, Budgeting, monitoring and evaluation system</w:t>
            </w:r>
            <w:r w:rsidR="00B26803">
              <w:rPr>
                <w:lang w:val="en-GB"/>
              </w:rPr>
              <w:t>s</w:t>
            </w:r>
          </w:p>
        </w:tc>
      </w:tr>
      <w:tr w:rsidR="00C928E8" w:rsidRPr="000D0318" w14:paraId="6C2ED4D1" w14:textId="77777777" w:rsidTr="009C19F3">
        <w:tc>
          <w:tcPr>
            <w:tcW w:w="1838" w:type="dxa"/>
            <w:tcBorders>
              <w:top w:val="single" w:sz="4" w:space="0" w:color="45B0E1"/>
              <w:left w:val="single" w:sz="4" w:space="0" w:color="45B0E1"/>
              <w:bottom w:val="single" w:sz="4" w:space="0" w:color="45B0E1"/>
              <w:right w:val="single" w:sz="4" w:space="0" w:color="45B0E1"/>
            </w:tcBorders>
            <w:shd w:val="clear" w:color="auto" w:fill="C1E4F5"/>
            <w:tcMar>
              <w:top w:w="0" w:type="dxa"/>
              <w:left w:w="108" w:type="dxa"/>
              <w:bottom w:w="0" w:type="dxa"/>
              <w:right w:w="108" w:type="dxa"/>
            </w:tcMar>
            <w:hideMark/>
          </w:tcPr>
          <w:p w14:paraId="52B1793D" w14:textId="77777777" w:rsidR="00C928E8" w:rsidRDefault="00C928E8" w:rsidP="009C19F3">
            <w:pPr>
              <w:pStyle w:val="Standard1"/>
              <w:spacing w:after="0" w:line="240" w:lineRule="auto"/>
              <w:rPr>
                <w:b/>
                <w:bCs/>
                <w:lang w:val="en-GB"/>
              </w:rPr>
            </w:pPr>
            <w:r>
              <w:rPr>
                <w:b/>
                <w:bCs/>
                <w:lang w:val="en-GB"/>
              </w:rPr>
              <w:t>Approach</w:t>
            </w:r>
          </w:p>
        </w:tc>
        <w:tc>
          <w:tcPr>
            <w:tcW w:w="3119" w:type="dxa"/>
            <w:tcBorders>
              <w:top w:val="single" w:sz="4" w:space="0" w:color="45B0E1"/>
              <w:left w:val="single" w:sz="4" w:space="0" w:color="45B0E1"/>
              <w:bottom w:val="single" w:sz="4" w:space="0" w:color="45B0E1"/>
              <w:right w:val="single" w:sz="4" w:space="0" w:color="45B0E1"/>
            </w:tcBorders>
            <w:shd w:val="clear" w:color="auto" w:fill="C1E4F5"/>
            <w:tcMar>
              <w:top w:w="0" w:type="dxa"/>
              <w:left w:w="108" w:type="dxa"/>
              <w:bottom w:w="0" w:type="dxa"/>
              <w:right w:w="108" w:type="dxa"/>
            </w:tcMar>
            <w:hideMark/>
          </w:tcPr>
          <w:p w14:paraId="7D850B46" w14:textId="12C43A02" w:rsidR="00C928E8" w:rsidRDefault="002E0F6B" w:rsidP="009C19F3">
            <w:pPr>
              <w:pStyle w:val="Standard1"/>
              <w:spacing w:after="0" w:line="240" w:lineRule="auto"/>
              <w:rPr>
                <w:lang w:val="en-GB"/>
              </w:rPr>
            </w:pPr>
            <w:r>
              <w:rPr>
                <w:lang w:val="en-GB"/>
              </w:rPr>
              <w:t>S</w:t>
            </w:r>
            <w:r w:rsidR="00C928E8">
              <w:rPr>
                <w:lang w:val="en-GB"/>
              </w:rPr>
              <w:t xml:space="preserve">tandardized </w:t>
            </w:r>
            <w:r>
              <w:rPr>
                <w:lang w:val="en-GB"/>
              </w:rPr>
              <w:t xml:space="preserve">tool </w:t>
            </w:r>
            <w:r w:rsidR="002B3B87">
              <w:rPr>
                <w:lang w:val="en-GB"/>
              </w:rPr>
              <w:t xml:space="preserve">and list of indicators to be answered </w:t>
            </w:r>
          </w:p>
        </w:tc>
        <w:tc>
          <w:tcPr>
            <w:tcW w:w="4105" w:type="dxa"/>
            <w:tcBorders>
              <w:top w:val="single" w:sz="4" w:space="0" w:color="45B0E1"/>
              <w:left w:val="single" w:sz="4" w:space="0" w:color="45B0E1"/>
              <w:bottom w:val="single" w:sz="4" w:space="0" w:color="45B0E1"/>
              <w:right w:val="single" w:sz="4" w:space="0" w:color="45B0E1"/>
            </w:tcBorders>
            <w:shd w:val="clear" w:color="auto" w:fill="C1E4F5"/>
            <w:tcMar>
              <w:top w:w="0" w:type="dxa"/>
              <w:left w:w="108" w:type="dxa"/>
              <w:bottom w:w="0" w:type="dxa"/>
              <w:right w:w="108" w:type="dxa"/>
            </w:tcMar>
            <w:hideMark/>
          </w:tcPr>
          <w:p w14:paraId="740E85C5" w14:textId="76753B44" w:rsidR="00C928E8" w:rsidRDefault="002B3B87" w:rsidP="009C19F3">
            <w:pPr>
              <w:pStyle w:val="Standard1"/>
              <w:spacing w:after="0" w:line="240" w:lineRule="auto"/>
              <w:rPr>
                <w:lang w:val="en-GB"/>
              </w:rPr>
            </w:pPr>
            <w:r>
              <w:rPr>
                <w:lang w:val="en-GB"/>
              </w:rPr>
              <w:t xml:space="preserve">Flexible tool </w:t>
            </w:r>
            <w:r w:rsidR="00BC2C1A">
              <w:rPr>
                <w:lang w:val="en-GB"/>
              </w:rPr>
              <w:t>that suggests</w:t>
            </w:r>
            <w:r>
              <w:rPr>
                <w:lang w:val="en-GB"/>
              </w:rPr>
              <w:t xml:space="preserve"> guiding questions to </w:t>
            </w:r>
            <w:r w:rsidR="006A715F">
              <w:rPr>
                <w:lang w:val="en-GB"/>
              </w:rPr>
              <w:t>assess how current M&amp;E systems work on n</w:t>
            </w:r>
            <w:r w:rsidR="00C928E8">
              <w:rPr>
                <w:lang w:val="en-GB"/>
              </w:rPr>
              <w:t>ational, subnational, sectoral</w:t>
            </w:r>
            <w:r w:rsidR="006A715F">
              <w:rPr>
                <w:lang w:val="en-GB"/>
              </w:rPr>
              <w:t xml:space="preserve"> levels </w:t>
            </w:r>
          </w:p>
        </w:tc>
      </w:tr>
      <w:tr w:rsidR="00C928E8" w:rsidRPr="000D0318" w14:paraId="4357C308" w14:textId="77777777" w:rsidTr="009C19F3">
        <w:tc>
          <w:tcPr>
            <w:tcW w:w="1838" w:type="dxa"/>
            <w:tcBorders>
              <w:top w:val="single" w:sz="4" w:space="0" w:color="45B0E1"/>
              <w:left w:val="single" w:sz="4" w:space="0" w:color="45B0E1"/>
              <w:bottom w:val="single" w:sz="4" w:space="0" w:color="45B0E1"/>
              <w:right w:val="single" w:sz="4" w:space="0" w:color="45B0E1"/>
            </w:tcBorders>
            <w:tcMar>
              <w:top w:w="0" w:type="dxa"/>
              <w:left w:w="108" w:type="dxa"/>
              <w:bottom w:w="0" w:type="dxa"/>
              <w:right w:w="108" w:type="dxa"/>
            </w:tcMar>
            <w:hideMark/>
          </w:tcPr>
          <w:p w14:paraId="5BA758AD" w14:textId="77777777" w:rsidR="00C928E8" w:rsidRDefault="00C928E8" w:rsidP="009C19F3">
            <w:pPr>
              <w:pStyle w:val="Standard1"/>
              <w:spacing w:after="0" w:line="240" w:lineRule="auto"/>
              <w:rPr>
                <w:b/>
                <w:bCs/>
                <w:lang w:val="en-GB"/>
              </w:rPr>
            </w:pPr>
            <w:r>
              <w:rPr>
                <w:b/>
                <w:bCs/>
                <w:lang w:val="en-GB"/>
              </w:rPr>
              <w:lastRenderedPageBreak/>
              <w:t>Resources</w:t>
            </w:r>
          </w:p>
        </w:tc>
        <w:tc>
          <w:tcPr>
            <w:tcW w:w="3119" w:type="dxa"/>
            <w:tcBorders>
              <w:top w:val="single" w:sz="4" w:space="0" w:color="45B0E1"/>
              <w:left w:val="single" w:sz="4" w:space="0" w:color="45B0E1"/>
              <w:bottom w:val="single" w:sz="4" w:space="0" w:color="45B0E1"/>
              <w:right w:val="single" w:sz="4" w:space="0" w:color="45B0E1"/>
            </w:tcBorders>
            <w:tcMar>
              <w:top w:w="0" w:type="dxa"/>
              <w:left w:w="108" w:type="dxa"/>
              <w:bottom w:w="0" w:type="dxa"/>
              <w:right w:w="108" w:type="dxa"/>
            </w:tcMar>
            <w:hideMark/>
          </w:tcPr>
          <w:p w14:paraId="3E01BD57" w14:textId="77777777" w:rsidR="00C928E8" w:rsidRDefault="00C928E8" w:rsidP="009C19F3">
            <w:pPr>
              <w:pStyle w:val="Standard1"/>
              <w:spacing w:after="0" w:line="240" w:lineRule="auto"/>
              <w:rPr>
                <w:lang w:val="en-GB"/>
              </w:rPr>
            </w:pPr>
            <w:r>
              <w:rPr>
                <w:lang w:val="en-GB"/>
              </w:rPr>
              <w:t>Less resource intensive, faster</w:t>
            </w:r>
          </w:p>
        </w:tc>
        <w:tc>
          <w:tcPr>
            <w:tcW w:w="4105" w:type="dxa"/>
            <w:tcBorders>
              <w:top w:val="single" w:sz="4" w:space="0" w:color="45B0E1"/>
              <w:left w:val="single" w:sz="4" w:space="0" w:color="45B0E1"/>
              <w:bottom w:val="single" w:sz="4" w:space="0" w:color="45B0E1"/>
              <w:right w:val="single" w:sz="4" w:space="0" w:color="45B0E1"/>
            </w:tcBorders>
            <w:tcMar>
              <w:top w:w="0" w:type="dxa"/>
              <w:left w:w="108" w:type="dxa"/>
              <w:bottom w:w="0" w:type="dxa"/>
              <w:right w:w="108" w:type="dxa"/>
            </w:tcMar>
            <w:hideMark/>
          </w:tcPr>
          <w:p w14:paraId="63C979EF" w14:textId="0C9C06A7" w:rsidR="00C928E8" w:rsidRDefault="00945662" w:rsidP="009C19F3">
            <w:pPr>
              <w:pStyle w:val="Standard1"/>
              <w:spacing w:after="0" w:line="240" w:lineRule="auto"/>
              <w:rPr>
                <w:lang w:val="en-GB"/>
              </w:rPr>
            </w:pPr>
            <w:r>
              <w:rPr>
                <w:lang w:val="en-GB"/>
              </w:rPr>
              <w:t>The tool</w:t>
            </w:r>
            <w:r w:rsidR="00DF6320">
              <w:rPr>
                <w:lang w:val="en-GB"/>
              </w:rPr>
              <w:t xml:space="preserve"> allows</w:t>
            </w:r>
            <w:r w:rsidR="00F246F3">
              <w:rPr>
                <w:lang w:val="en-GB"/>
              </w:rPr>
              <w:t xml:space="preserve"> faster and longer (Full MESA ) </w:t>
            </w:r>
            <w:r w:rsidR="00DC3310">
              <w:rPr>
                <w:lang w:val="en-GB"/>
              </w:rPr>
              <w:t>engagements that could require extensive resources and be longer</w:t>
            </w:r>
          </w:p>
        </w:tc>
      </w:tr>
      <w:tr w:rsidR="00C928E8" w:rsidRPr="000D0318" w14:paraId="4EE824A7" w14:textId="77777777" w:rsidTr="009C19F3">
        <w:tc>
          <w:tcPr>
            <w:tcW w:w="1838" w:type="dxa"/>
            <w:tcBorders>
              <w:top w:val="single" w:sz="4" w:space="0" w:color="45B0E1"/>
              <w:left w:val="single" w:sz="4" w:space="0" w:color="45B0E1"/>
              <w:bottom w:val="single" w:sz="4" w:space="0" w:color="45B0E1"/>
              <w:right w:val="single" w:sz="4" w:space="0" w:color="45B0E1"/>
            </w:tcBorders>
            <w:shd w:val="clear" w:color="auto" w:fill="C1E4F5"/>
            <w:tcMar>
              <w:top w:w="0" w:type="dxa"/>
              <w:left w:w="108" w:type="dxa"/>
              <w:bottom w:w="0" w:type="dxa"/>
              <w:right w:w="108" w:type="dxa"/>
            </w:tcMar>
            <w:hideMark/>
          </w:tcPr>
          <w:p w14:paraId="18E1D164" w14:textId="77777777" w:rsidR="00C928E8" w:rsidRDefault="00C928E8" w:rsidP="009C19F3">
            <w:pPr>
              <w:pStyle w:val="Standard1"/>
              <w:spacing w:after="0" w:line="240" w:lineRule="auto"/>
              <w:rPr>
                <w:b/>
                <w:bCs/>
                <w:lang w:val="en-GB"/>
              </w:rPr>
            </w:pPr>
            <w:r>
              <w:rPr>
                <w:b/>
                <w:bCs/>
                <w:lang w:val="en-GB"/>
              </w:rPr>
              <w:t>Objective</w:t>
            </w:r>
          </w:p>
        </w:tc>
        <w:tc>
          <w:tcPr>
            <w:tcW w:w="3119" w:type="dxa"/>
            <w:tcBorders>
              <w:top w:val="single" w:sz="4" w:space="0" w:color="45B0E1"/>
              <w:left w:val="single" w:sz="4" w:space="0" w:color="45B0E1"/>
              <w:bottom w:val="single" w:sz="4" w:space="0" w:color="45B0E1"/>
              <w:right w:val="single" w:sz="4" w:space="0" w:color="45B0E1"/>
            </w:tcBorders>
            <w:shd w:val="clear" w:color="auto" w:fill="C1E4F5"/>
            <w:tcMar>
              <w:top w:w="0" w:type="dxa"/>
              <w:left w:w="108" w:type="dxa"/>
              <w:bottom w:w="0" w:type="dxa"/>
              <w:right w:w="108" w:type="dxa"/>
            </w:tcMar>
            <w:hideMark/>
          </w:tcPr>
          <w:p w14:paraId="2A2AA7BF" w14:textId="77777777" w:rsidR="00C928E8" w:rsidRDefault="00C928E8" w:rsidP="009C19F3">
            <w:pPr>
              <w:pStyle w:val="Standard1"/>
              <w:spacing w:after="0" w:line="240" w:lineRule="auto"/>
              <w:rPr>
                <w:lang w:val="en-GB"/>
              </w:rPr>
            </w:pPr>
            <w:r>
              <w:rPr>
                <w:lang w:val="en-GB"/>
              </w:rPr>
              <w:t>Measurement, open dialogue space in strengthening systems</w:t>
            </w:r>
          </w:p>
        </w:tc>
        <w:tc>
          <w:tcPr>
            <w:tcW w:w="4105" w:type="dxa"/>
            <w:tcBorders>
              <w:top w:val="single" w:sz="4" w:space="0" w:color="45B0E1"/>
              <w:left w:val="single" w:sz="4" w:space="0" w:color="45B0E1"/>
              <w:bottom w:val="single" w:sz="4" w:space="0" w:color="45B0E1"/>
              <w:right w:val="single" w:sz="4" w:space="0" w:color="45B0E1"/>
            </w:tcBorders>
            <w:shd w:val="clear" w:color="auto" w:fill="C1E4F5"/>
            <w:tcMar>
              <w:top w:w="0" w:type="dxa"/>
              <w:left w:w="108" w:type="dxa"/>
              <w:bottom w:w="0" w:type="dxa"/>
              <w:right w:w="108" w:type="dxa"/>
            </w:tcMar>
            <w:hideMark/>
          </w:tcPr>
          <w:p w14:paraId="417209A0" w14:textId="772A9DC6" w:rsidR="00C928E8" w:rsidRDefault="00C928E8" w:rsidP="009C19F3">
            <w:pPr>
              <w:pStyle w:val="Standard1"/>
              <w:spacing w:after="0" w:line="240" w:lineRule="auto"/>
              <w:rPr>
                <w:lang w:val="en-GB"/>
              </w:rPr>
            </w:pPr>
            <w:r>
              <w:rPr>
                <w:lang w:val="en-GB"/>
              </w:rPr>
              <w:t xml:space="preserve">Basis for </w:t>
            </w:r>
            <w:r w:rsidR="008A1C02">
              <w:rPr>
                <w:lang w:val="en-GB"/>
              </w:rPr>
              <w:t xml:space="preserve">building </w:t>
            </w:r>
            <w:r w:rsidR="00530C99">
              <w:rPr>
                <w:lang w:val="en-GB"/>
              </w:rPr>
              <w:t xml:space="preserve">strong intergovernmental collaboration for </w:t>
            </w:r>
            <w:r w:rsidR="00E46116">
              <w:rPr>
                <w:lang w:val="en-GB"/>
              </w:rPr>
              <w:t>conducting</w:t>
            </w:r>
            <w:r w:rsidR="00530C99">
              <w:rPr>
                <w:lang w:val="en-GB"/>
              </w:rPr>
              <w:t xml:space="preserve"> the exercise and </w:t>
            </w:r>
            <w:r w:rsidR="00E46116">
              <w:rPr>
                <w:lang w:val="en-GB"/>
              </w:rPr>
              <w:t xml:space="preserve">building </w:t>
            </w:r>
            <w:r>
              <w:rPr>
                <w:lang w:val="en-GB"/>
              </w:rPr>
              <w:t>capacity development strategy</w:t>
            </w:r>
            <w:r w:rsidR="00E46116">
              <w:rPr>
                <w:lang w:val="en-GB"/>
              </w:rPr>
              <w:t xml:space="preserve"> </w:t>
            </w:r>
          </w:p>
        </w:tc>
      </w:tr>
      <w:tr w:rsidR="00C928E8" w:rsidRPr="000D0318" w14:paraId="3A3F4EEA" w14:textId="77777777" w:rsidTr="009C19F3">
        <w:tc>
          <w:tcPr>
            <w:tcW w:w="1838" w:type="dxa"/>
            <w:tcBorders>
              <w:top w:val="single" w:sz="4" w:space="0" w:color="45B0E1"/>
              <w:left w:val="single" w:sz="4" w:space="0" w:color="45B0E1"/>
              <w:bottom w:val="single" w:sz="4" w:space="0" w:color="45B0E1"/>
              <w:right w:val="single" w:sz="4" w:space="0" w:color="45B0E1"/>
            </w:tcBorders>
            <w:tcMar>
              <w:top w:w="0" w:type="dxa"/>
              <w:left w:w="108" w:type="dxa"/>
              <w:bottom w:w="0" w:type="dxa"/>
              <w:right w:w="108" w:type="dxa"/>
            </w:tcMar>
            <w:hideMark/>
          </w:tcPr>
          <w:p w14:paraId="3AD2F93A" w14:textId="77777777" w:rsidR="00C928E8" w:rsidRDefault="00C928E8" w:rsidP="009C19F3">
            <w:pPr>
              <w:pStyle w:val="Standard1"/>
              <w:spacing w:after="0" w:line="240" w:lineRule="auto"/>
              <w:rPr>
                <w:b/>
                <w:bCs/>
                <w:lang w:val="en-GB"/>
              </w:rPr>
            </w:pPr>
            <w:r>
              <w:rPr>
                <w:b/>
                <w:bCs/>
                <w:lang w:val="en-GB"/>
              </w:rPr>
              <w:t>Measuring change</w:t>
            </w:r>
          </w:p>
        </w:tc>
        <w:tc>
          <w:tcPr>
            <w:tcW w:w="3119" w:type="dxa"/>
            <w:tcBorders>
              <w:top w:val="single" w:sz="4" w:space="0" w:color="45B0E1"/>
              <w:left w:val="single" w:sz="4" w:space="0" w:color="45B0E1"/>
              <w:bottom w:val="single" w:sz="4" w:space="0" w:color="45B0E1"/>
              <w:right w:val="single" w:sz="4" w:space="0" w:color="45B0E1"/>
            </w:tcBorders>
            <w:tcMar>
              <w:top w:w="0" w:type="dxa"/>
              <w:left w:w="108" w:type="dxa"/>
              <w:bottom w:w="0" w:type="dxa"/>
              <w:right w:w="108" w:type="dxa"/>
            </w:tcMar>
            <w:hideMark/>
          </w:tcPr>
          <w:p w14:paraId="4AB008C0" w14:textId="77777777" w:rsidR="00C928E8" w:rsidRDefault="00C928E8" w:rsidP="009C19F3">
            <w:pPr>
              <w:pStyle w:val="Standard1"/>
              <w:spacing w:after="0" w:line="240" w:lineRule="auto"/>
              <w:rPr>
                <w:lang w:val="en-GB"/>
              </w:rPr>
            </w:pPr>
            <w:r>
              <w:rPr>
                <w:lang w:val="en-GB"/>
              </w:rPr>
              <w:t>Can use same tool to track change</w:t>
            </w:r>
          </w:p>
        </w:tc>
        <w:tc>
          <w:tcPr>
            <w:tcW w:w="4105" w:type="dxa"/>
            <w:tcBorders>
              <w:top w:val="single" w:sz="4" w:space="0" w:color="45B0E1"/>
              <w:left w:val="single" w:sz="4" w:space="0" w:color="45B0E1"/>
              <w:bottom w:val="single" w:sz="4" w:space="0" w:color="45B0E1"/>
              <w:right w:val="single" w:sz="4" w:space="0" w:color="45B0E1"/>
            </w:tcBorders>
            <w:tcMar>
              <w:top w:w="0" w:type="dxa"/>
              <w:left w:w="108" w:type="dxa"/>
              <w:bottom w:w="0" w:type="dxa"/>
              <w:right w:w="108" w:type="dxa"/>
            </w:tcMar>
            <w:hideMark/>
          </w:tcPr>
          <w:p w14:paraId="5E4C900E" w14:textId="77777777" w:rsidR="00C928E8" w:rsidRDefault="00C928E8" w:rsidP="009C19F3">
            <w:pPr>
              <w:pStyle w:val="Standard1"/>
              <w:spacing w:after="0" w:line="240" w:lineRule="auto"/>
              <w:rPr>
                <w:lang w:val="en-GB"/>
              </w:rPr>
            </w:pPr>
            <w:r>
              <w:rPr>
                <w:lang w:val="en-GB"/>
              </w:rPr>
              <w:t>MESA as a baseline, but less likely to repeat full exercise</w:t>
            </w:r>
          </w:p>
        </w:tc>
      </w:tr>
      <w:tr w:rsidR="00C928E8" w:rsidRPr="000D0318" w14:paraId="2912C772" w14:textId="77777777" w:rsidTr="009C19F3">
        <w:tc>
          <w:tcPr>
            <w:tcW w:w="1838" w:type="dxa"/>
            <w:tcBorders>
              <w:top w:val="single" w:sz="4" w:space="0" w:color="45B0E1"/>
              <w:left w:val="single" w:sz="4" w:space="0" w:color="45B0E1"/>
              <w:bottom w:val="single" w:sz="4" w:space="0" w:color="45B0E1"/>
              <w:right w:val="single" w:sz="4" w:space="0" w:color="45B0E1"/>
            </w:tcBorders>
            <w:shd w:val="clear" w:color="auto" w:fill="C1E4F5"/>
            <w:tcMar>
              <w:top w:w="0" w:type="dxa"/>
              <w:left w:w="108" w:type="dxa"/>
              <w:bottom w:w="0" w:type="dxa"/>
              <w:right w:w="108" w:type="dxa"/>
            </w:tcMar>
            <w:hideMark/>
          </w:tcPr>
          <w:p w14:paraId="29C33B14" w14:textId="77777777" w:rsidR="00C928E8" w:rsidRDefault="00C928E8" w:rsidP="009C19F3">
            <w:pPr>
              <w:pStyle w:val="Standard1"/>
              <w:spacing w:after="0" w:line="240" w:lineRule="auto"/>
              <w:rPr>
                <w:b/>
                <w:bCs/>
                <w:lang w:val="en-GB"/>
              </w:rPr>
            </w:pPr>
            <w:r>
              <w:rPr>
                <w:b/>
                <w:bCs/>
                <w:lang w:val="en-GB"/>
              </w:rPr>
              <w:t>Community</w:t>
            </w:r>
          </w:p>
        </w:tc>
        <w:tc>
          <w:tcPr>
            <w:tcW w:w="3119" w:type="dxa"/>
            <w:tcBorders>
              <w:top w:val="single" w:sz="4" w:space="0" w:color="45B0E1"/>
              <w:left w:val="single" w:sz="4" w:space="0" w:color="45B0E1"/>
              <w:bottom w:val="single" w:sz="4" w:space="0" w:color="45B0E1"/>
              <w:right w:val="single" w:sz="4" w:space="0" w:color="45B0E1"/>
            </w:tcBorders>
            <w:shd w:val="clear" w:color="auto" w:fill="C1E4F5"/>
            <w:tcMar>
              <w:top w:w="0" w:type="dxa"/>
              <w:left w:w="108" w:type="dxa"/>
              <w:bottom w:w="0" w:type="dxa"/>
              <w:right w:w="108" w:type="dxa"/>
            </w:tcMar>
          </w:tcPr>
          <w:p w14:paraId="41BE4076" w14:textId="2106F499" w:rsidR="00C928E8" w:rsidRDefault="00C928E8" w:rsidP="009C19F3">
            <w:pPr>
              <w:pStyle w:val="Standard1"/>
              <w:spacing w:after="0" w:line="240" w:lineRule="auto"/>
              <w:rPr>
                <w:lang w:val="en-GB"/>
              </w:rPr>
            </w:pPr>
            <w:r>
              <w:rPr>
                <w:lang w:val="en-GB"/>
              </w:rPr>
              <w:t>Vibrant community of practice</w:t>
            </w:r>
            <w:r w:rsidR="00AC52B3">
              <w:rPr>
                <w:lang w:val="en-GB"/>
              </w:rPr>
              <w:t xml:space="preserve"> (local evaluators, academic institutions, VOPEs)</w:t>
            </w:r>
          </w:p>
          <w:p w14:paraId="3ABBD2AC" w14:textId="77777777" w:rsidR="00C928E8" w:rsidRDefault="00C928E8" w:rsidP="009C19F3">
            <w:pPr>
              <w:pStyle w:val="Standard1"/>
              <w:spacing w:after="0" w:line="240" w:lineRule="auto"/>
              <w:rPr>
                <w:lang w:val="en-GB"/>
              </w:rPr>
            </w:pPr>
          </w:p>
        </w:tc>
        <w:tc>
          <w:tcPr>
            <w:tcW w:w="4105" w:type="dxa"/>
            <w:tcBorders>
              <w:top w:val="single" w:sz="4" w:space="0" w:color="45B0E1"/>
              <w:left w:val="single" w:sz="4" w:space="0" w:color="45B0E1"/>
              <w:bottom w:val="single" w:sz="4" w:space="0" w:color="45B0E1"/>
              <w:right w:val="single" w:sz="4" w:space="0" w:color="45B0E1"/>
            </w:tcBorders>
            <w:shd w:val="clear" w:color="auto" w:fill="C1E4F5"/>
            <w:tcMar>
              <w:top w:w="0" w:type="dxa"/>
              <w:left w:w="108" w:type="dxa"/>
              <w:bottom w:w="0" w:type="dxa"/>
              <w:right w:w="108" w:type="dxa"/>
            </w:tcMar>
            <w:hideMark/>
          </w:tcPr>
          <w:p w14:paraId="528DE839" w14:textId="2ADE7D02" w:rsidR="00C928E8" w:rsidRDefault="00AC52B3" w:rsidP="009C19F3">
            <w:pPr>
              <w:pStyle w:val="Standard1"/>
              <w:spacing w:after="0" w:line="240" w:lineRule="auto"/>
              <w:rPr>
                <w:lang w:val="en-GB"/>
              </w:rPr>
            </w:pPr>
            <w:r>
              <w:rPr>
                <w:lang w:val="en-GB"/>
              </w:rPr>
              <w:t xml:space="preserve">Focused on building </w:t>
            </w:r>
            <w:r w:rsidR="00005220">
              <w:rPr>
                <w:lang w:val="en-GB"/>
              </w:rPr>
              <w:t>government ownership and engagement and collaborating with development partners</w:t>
            </w:r>
            <w:r w:rsidR="005F161D">
              <w:rPr>
                <w:lang w:val="en-GB"/>
              </w:rPr>
              <w:t xml:space="preserve"> (WB, UN institutions, others)</w:t>
            </w:r>
            <w:r w:rsidR="00005220">
              <w:rPr>
                <w:lang w:val="en-GB"/>
              </w:rPr>
              <w:t xml:space="preserve"> </w:t>
            </w:r>
          </w:p>
        </w:tc>
      </w:tr>
    </w:tbl>
    <w:p w14:paraId="7C13E18A" w14:textId="77777777" w:rsidR="00C928E8" w:rsidRDefault="00C928E8" w:rsidP="007320FF">
      <w:pPr>
        <w:jc w:val="both"/>
        <w:rPr>
          <w:lang w:val="en-GB"/>
        </w:rPr>
      </w:pPr>
    </w:p>
    <w:p w14:paraId="4377D8C4" w14:textId="1257308D" w:rsidR="00546E99" w:rsidRDefault="00953C6C" w:rsidP="007320FF">
      <w:pPr>
        <w:jc w:val="both"/>
        <w:rPr>
          <w:lang w:val="en-GB"/>
        </w:rPr>
      </w:pPr>
      <w:r w:rsidRPr="00953C6C">
        <w:rPr>
          <w:lang w:val="en-GB"/>
        </w:rPr>
        <w:t>The final segment will showcase real-world experiences in applying the MESA and INCE tools, focusing on good practices and challenges encountered during their implementation. This will provide participants with practical insights and lessons learned from the application of these diagnostic tools.</w:t>
      </w:r>
      <w:r w:rsidR="00945662">
        <w:rPr>
          <w:lang w:val="en-GB"/>
        </w:rPr>
        <w:t xml:space="preserve"> </w:t>
      </w:r>
      <w:r w:rsidR="003B3796">
        <w:rPr>
          <w:lang w:val="en-GB"/>
        </w:rPr>
        <w:t xml:space="preserve">The teams will share the INCE experience in Latin America. The MESA teams will showcase the examples of </w:t>
      </w:r>
      <w:r w:rsidR="0043129D">
        <w:rPr>
          <w:lang w:val="en-GB"/>
        </w:rPr>
        <w:t>adopting MESAs to different contexts</w:t>
      </w:r>
      <w:r w:rsidR="00B57704">
        <w:rPr>
          <w:lang w:val="en-GB"/>
        </w:rPr>
        <w:t xml:space="preserve"> ( for example, </w:t>
      </w:r>
      <w:r w:rsidR="0043129D">
        <w:rPr>
          <w:lang w:val="en-GB"/>
        </w:rPr>
        <w:t>conflict and fragile countries of Congo</w:t>
      </w:r>
      <w:r w:rsidR="00E10F88">
        <w:rPr>
          <w:lang w:val="en-GB"/>
        </w:rPr>
        <w:t xml:space="preserve"> and</w:t>
      </w:r>
      <w:r w:rsidR="0043129D">
        <w:rPr>
          <w:lang w:val="en-GB"/>
        </w:rPr>
        <w:t xml:space="preserve"> Solomons, </w:t>
      </w:r>
      <w:r w:rsidR="00E10F88">
        <w:rPr>
          <w:lang w:val="en-GB"/>
        </w:rPr>
        <w:t xml:space="preserve">supporting country </w:t>
      </w:r>
      <w:r w:rsidR="00A027B9">
        <w:rPr>
          <w:lang w:val="en-GB"/>
        </w:rPr>
        <w:t xml:space="preserve">public policy modernization work in Uzbekistan and </w:t>
      </w:r>
      <w:r w:rsidR="00B57704">
        <w:rPr>
          <w:lang w:val="en-GB"/>
        </w:rPr>
        <w:t>conducting</w:t>
      </w:r>
      <w:r w:rsidR="00A027B9">
        <w:rPr>
          <w:lang w:val="en-GB"/>
        </w:rPr>
        <w:t xml:space="preserve"> city</w:t>
      </w:r>
      <w:r w:rsidR="00B57704">
        <w:rPr>
          <w:lang w:val="en-GB"/>
        </w:rPr>
        <w:t xml:space="preserve"> MESA</w:t>
      </w:r>
      <w:r w:rsidR="00A027B9">
        <w:rPr>
          <w:lang w:val="en-GB"/>
        </w:rPr>
        <w:t xml:space="preserve"> in Brazil</w:t>
      </w:r>
      <w:r w:rsidR="003C5B45">
        <w:rPr>
          <w:lang w:val="en-GB"/>
        </w:rPr>
        <w:t>)</w:t>
      </w:r>
    </w:p>
    <w:p w14:paraId="629F5BD7" w14:textId="77777777" w:rsidR="007B756E" w:rsidRDefault="007B756E" w:rsidP="007320FF">
      <w:pPr>
        <w:jc w:val="both"/>
        <w:rPr>
          <w:lang w:val="en-GB"/>
        </w:rPr>
      </w:pPr>
    </w:p>
    <w:p w14:paraId="1CC642EC" w14:textId="5495E214" w:rsidR="00546E99" w:rsidRPr="002522AC" w:rsidRDefault="00546E99" w:rsidP="007320FF">
      <w:pPr>
        <w:jc w:val="both"/>
        <w:rPr>
          <w:b/>
          <w:bCs/>
          <w:lang w:val="en-GB"/>
        </w:rPr>
      </w:pPr>
      <w:r w:rsidRPr="002522AC">
        <w:rPr>
          <w:b/>
          <w:bCs/>
          <w:lang w:val="en-GB"/>
        </w:rPr>
        <w:t xml:space="preserve">Expected outcomes </w:t>
      </w:r>
    </w:p>
    <w:p w14:paraId="76E461C0" w14:textId="77777777" w:rsidR="00B62D1A" w:rsidRPr="00B62D1A" w:rsidRDefault="00B62D1A" w:rsidP="007320FF">
      <w:pPr>
        <w:jc w:val="both"/>
        <w:rPr>
          <w:lang w:val="en-GB"/>
        </w:rPr>
      </w:pPr>
      <w:r w:rsidRPr="00B62D1A">
        <w:rPr>
          <w:lang w:val="en-GB"/>
        </w:rPr>
        <w:t>Participants will:</w:t>
      </w:r>
    </w:p>
    <w:p w14:paraId="7E727470" w14:textId="3424D1C4" w:rsidR="00B62D1A" w:rsidRPr="00B62D1A" w:rsidRDefault="00B62D1A" w:rsidP="007320FF">
      <w:pPr>
        <w:pStyle w:val="Listenabsatz"/>
        <w:numPr>
          <w:ilvl w:val="0"/>
          <w:numId w:val="2"/>
        </w:numPr>
        <w:jc w:val="both"/>
        <w:rPr>
          <w:lang w:val="en-GB"/>
        </w:rPr>
      </w:pPr>
      <w:r w:rsidRPr="00B62D1A">
        <w:rPr>
          <w:lang w:val="en-GB"/>
        </w:rPr>
        <w:t xml:space="preserve">Understand the </w:t>
      </w:r>
      <w:r>
        <w:rPr>
          <w:lang w:val="en-GB"/>
        </w:rPr>
        <w:t xml:space="preserve">monitoring and </w:t>
      </w:r>
      <w:r w:rsidRPr="00B62D1A">
        <w:rPr>
          <w:lang w:val="en-GB"/>
        </w:rPr>
        <w:t>evaluation function</w:t>
      </w:r>
      <w:r>
        <w:rPr>
          <w:lang w:val="en-GB"/>
        </w:rPr>
        <w:t>s</w:t>
      </w:r>
      <w:r w:rsidRPr="00B62D1A">
        <w:rPr>
          <w:lang w:val="en-GB"/>
        </w:rPr>
        <w:t xml:space="preserve"> from a systemic perspective.</w:t>
      </w:r>
    </w:p>
    <w:p w14:paraId="07E9F2AA" w14:textId="77777777" w:rsidR="00B62D1A" w:rsidRPr="00B62D1A" w:rsidRDefault="00B62D1A" w:rsidP="007320FF">
      <w:pPr>
        <w:pStyle w:val="Listenabsatz"/>
        <w:numPr>
          <w:ilvl w:val="0"/>
          <w:numId w:val="2"/>
        </w:numPr>
        <w:jc w:val="both"/>
        <w:rPr>
          <w:lang w:val="en-GB"/>
        </w:rPr>
      </w:pPr>
      <w:r w:rsidRPr="00B62D1A">
        <w:rPr>
          <w:lang w:val="en-GB"/>
        </w:rPr>
        <w:t>Identify the role their organizations should play in the functioning of the M&amp;E system.</w:t>
      </w:r>
    </w:p>
    <w:p w14:paraId="350F0E8B" w14:textId="53C14F21" w:rsidR="00B62D1A" w:rsidRPr="003C5B45" w:rsidRDefault="00B62D1A" w:rsidP="6A76F37E">
      <w:pPr>
        <w:pStyle w:val="Listenabsatz"/>
        <w:numPr>
          <w:ilvl w:val="0"/>
          <w:numId w:val="2"/>
        </w:numPr>
        <w:jc w:val="both"/>
        <w:rPr>
          <w:lang w:val="en-GB"/>
        </w:rPr>
      </w:pPr>
      <w:r w:rsidRPr="003C5B45">
        <w:rPr>
          <w:lang w:val="en-GB"/>
        </w:rPr>
        <w:t>Comprehend the s</w:t>
      </w:r>
      <w:r w:rsidR="35078CFE" w:rsidRPr="003C5B45">
        <w:rPr>
          <w:lang w:val="en-GB"/>
        </w:rPr>
        <w:t>imilarities</w:t>
      </w:r>
      <w:r w:rsidRPr="003C5B45">
        <w:rPr>
          <w:lang w:val="en-GB"/>
        </w:rPr>
        <w:t xml:space="preserve"> and complementarities between various diagnostic tools of M&amp;E systems, particularly MESA and INC</w:t>
      </w:r>
      <w:r w:rsidR="003C5B45" w:rsidRPr="003C5B45">
        <w:rPr>
          <w:lang w:val="en-GB"/>
        </w:rPr>
        <w:t xml:space="preserve">E for different needs. </w:t>
      </w:r>
    </w:p>
    <w:p w14:paraId="7D406C2C" w14:textId="1DADB979" w:rsidR="00BE5E70" w:rsidRPr="00B62D1A" w:rsidRDefault="00B62D1A" w:rsidP="007320FF">
      <w:pPr>
        <w:pStyle w:val="Listenabsatz"/>
        <w:numPr>
          <w:ilvl w:val="0"/>
          <w:numId w:val="2"/>
        </w:numPr>
        <w:jc w:val="both"/>
        <w:rPr>
          <w:lang w:val="en-GB"/>
        </w:rPr>
      </w:pPr>
      <w:r w:rsidRPr="00B62D1A">
        <w:rPr>
          <w:lang w:val="en-GB"/>
        </w:rPr>
        <w:t>Effectively communicate to decision-makers the importance of applying diagnostic tools before implementing improvements to strengthen M&amp;E systems.</w:t>
      </w:r>
    </w:p>
    <w:p w14:paraId="2BEE4632" w14:textId="150F01B8" w:rsidR="00546E99" w:rsidRPr="002522AC" w:rsidRDefault="00546E99" w:rsidP="007320FF">
      <w:pPr>
        <w:jc w:val="both"/>
        <w:rPr>
          <w:b/>
          <w:bCs/>
          <w:lang w:val="en-GB"/>
        </w:rPr>
      </w:pPr>
      <w:r w:rsidRPr="002522AC">
        <w:rPr>
          <w:b/>
          <w:bCs/>
          <w:lang w:val="en-GB"/>
        </w:rPr>
        <w:t xml:space="preserve">Facilitators </w:t>
      </w:r>
    </w:p>
    <w:p w14:paraId="73E6706E" w14:textId="7FC655DE" w:rsidR="002522AC" w:rsidRDefault="00194267" w:rsidP="002522AC">
      <w:pPr>
        <w:pStyle w:val="Listenabsatz"/>
        <w:numPr>
          <w:ilvl w:val="0"/>
          <w:numId w:val="3"/>
        </w:numPr>
        <w:jc w:val="both"/>
        <w:rPr>
          <w:lang w:val="en-GB"/>
        </w:rPr>
      </w:pPr>
      <w:r w:rsidRPr="002522AC">
        <w:rPr>
          <w:lang w:val="en-GB"/>
        </w:rPr>
        <w:t>GEI</w:t>
      </w:r>
      <w:r w:rsidR="002522AC">
        <w:rPr>
          <w:lang w:val="en-GB"/>
        </w:rPr>
        <w:t>/MESA:</w:t>
      </w:r>
      <w:r w:rsidR="00660E27">
        <w:rPr>
          <w:lang w:val="en-GB"/>
        </w:rPr>
        <w:t xml:space="preserve"> K</w:t>
      </w:r>
      <w:r w:rsidR="000F5417">
        <w:rPr>
          <w:lang w:val="en-GB"/>
        </w:rPr>
        <w:t>etevan Nozadze</w:t>
      </w:r>
      <w:r w:rsidR="00486DA2">
        <w:rPr>
          <w:lang w:val="en-GB"/>
        </w:rPr>
        <w:t xml:space="preserve"> knozadze@worldbank.org</w:t>
      </w:r>
      <w:r w:rsidR="000F5417">
        <w:rPr>
          <w:lang w:val="en-GB"/>
        </w:rPr>
        <w:t xml:space="preserve"> (GEI lead for country programs), </w:t>
      </w:r>
      <w:r w:rsidR="005D5E15" w:rsidRPr="005D5E15">
        <w:rPr>
          <w:lang w:val="en-GB"/>
        </w:rPr>
        <w:t xml:space="preserve">Edoe Djimitri Agbodjan &lt;edoe.agbodjan@cesag.edu.sn&gt;; Amna Aaqil &lt;amna.aaqil@cerp.org.pk&gt;; lycia.lima@fgv.br; </w:t>
      </w:r>
      <w:hyperlink r:id="rId8" w:history="1">
        <w:r w:rsidR="005D5E15" w:rsidRPr="00E53702">
          <w:rPr>
            <w:rStyle w:val="Hyperlink"/>
            <w:lang w:val="en-GB"/>
          </w:rPr>
          <w:t>takunda.chirau@wits.ac.za</w:t>
        </w:r>
      </w:hyperlink>
      <w:r w:rsidR="005D5E15">
        <w:rPr>
          <w:lang w:val="en-GB"/>
        </w:rPr>
        <w:t xml:space="preserve"> </w:t>
      </w:r>
    </w:p>
    <w:p w14:paraId="6506316E" w14:textId="5CF66751" w:rsidR="00546E99" w:rsidRPr="002522AC" w:rsidRDefault="00194267" w:rsidP="002522AC">
      <w:pPr>
        <w:pStyle w:val="Listenabsatz"/>
        <w:jc w:val="both"/>
        <w:rPr>
          <w:lang w:val="en-GB"/>
        </w:rPr>
      </w:pPr>
      <w:r w:rsidRPr="002522AC">
        <w:rPr>
          <w:lang w:val="en-GB"/>
        </w:rPr>
        <w:t xml:space="preserve"> </w:t>
      </w:r>
    </w:p>
    <w:p w14:paraId="10C99E2B" w14:textId="1F7AADC7" w:rsidR="000D0318" w:rsidRPr="000D0318" w:rsidRDefault="00194267" w:rsidP="000D0318">
      <w:pPr>
        <w:pStyle w:val="Listenabsatz"/>
        <w:numPr>
          <w:ilvl w:val="0"/>
          <w:numId w:val="3"/>
        </w:numPr>
        <w:jc w:val="both"/>
        <w:rPr>
          <w:lang w:val="en-GB"/>
        </w:rPr>
      </w:pPr>
      <w:r w:rsidRPr="000D0318">
        <w:rPr>
          <w:lang w:val="en-GB"/>
        </w:rPr>
        <w:t>DEval/</w:t>
      </w:r>
      <w:r w:rsidR="00DD6B62">
        <w:rPr>
          <w:lang w:val="en-GB"/>
        </w:rPr>
        <w:t xml:space="preserve"> WFP / </w:t>
      </w:r>
      <w:r w:rsidRPr="000D0318">
        <w:rPr>
          <w:lang w:val="en-GB"/>
        </w:rPr>
        <w:t>INCE</w:t>
      </w:r>
      <w:r w:rsidR="000D0318" w:rsidRPr="000D0318">
        <w:rPr>
          <w:lang w:val="en-GB"/>
        </w:rPr>
        <w:t xml:space="preserve">: </w:t>
      </w:r>
      <w:r w:rsidRPr="000D0318">
        <w:rPr>
          <w:lang w:val="en-GB"/>
        </w:rPr>
        <w:t>Sarah Klier (</w:t>
      </w:r>
      <w:hyperlink r:id="rId9" w:history="1">
        <w:r w:rsidR="00385CB6" w:rsidRPr="000D0318">
          <w:rPr>
            <w:rStyle w:val="Hyperlink"/>
            <w:color w:val="auto"/>
            <w:u w:val="none"/>
            <w:lang w:val="en-GB"/>
          </w:rPr>
          <w:t>sarah.klier@deval.org</w:t>
        </w:r>
      </w:hyperlink>
      <w:r w:rsidRPr="000D0318">
        <w:rPr>
          <w:lang w:val="en-GB"/>
        </w:rPr>
        <w:t>)</w:t>
      </w:r>
      <w:r w:rsidR="000D0318" w:rsidRPr="000D0318">
        <w:rPr>
          <w:lang w:val="en-GB"/>
        </w:rPr>
        <w:t xml:space="preserve"> - t</w:t>
      </w:r>
      <w:r w:rsidRPr="000D0318">
        <w:rPr>
          <w:lang w:val="en-GB"/>
        </w:rPr>
        <w:t xml:space="preserve">eam leader ECD </w:t>
      </w:r>
      <w:r w:rsidR="00385CB6" w:rsidRPr="000D0318">
        <w:rPr>
          <w:lang w:val="en-GB"/>
        </w:rPr>
        <w:t>at D</w:t>
      </w:r>
      <w:r w:rsidR="00DD6B62">
        <w:rPr>
          <w:lang w:val="en-GB"/>
        </w:rPr>
        <w:t>E</w:t>
      </w:r>
      <w:r w:rsidR="00385CB6" w:rsidRPr="000D0318">
        <w:rPr>
          <w:lang w:val="en-GB"/>
        </w:rPr>
        <w:t>val</w:t>
      </w:r>
      <w:r w:rsidR="000D0318" w:rsidRPr="000D0318">
        <w:rPr>
          <w:lang w:val="en-GB"/>
        </w:rPr>
        <w:t>, Celeste Ghiano (</w:t>
      </w:r>
      <w:hyperlink r:id="rId10" w:history="1">
        <w:r w:rsidR="000D0318" w:rsidRPr="000D0318">
          <w:rPr>
            <w:rStyle w:val="Hyperlink"/>
            <w:color w:val="auto"/>
            <w:u w:val="none"/>
            <w:lang w:val="en-GB"/>
          </w:rPr>
          <w:t>ghiano.celeste@gmail.com</w:t>
        </w:r>
      </w:hyperlink>
      <w:r w:rsidR="000D0318" w:rsidRPr="000D0318">
        <w:rPr>
          <w:lang w:val="en-GB"/>
        </w:rPr>
        <w:t>), INCE expert; Juan Pablo Mottola</w:t>
      </w:r>
      <w:r w:rsidR="000D0318">
        <w:rPr>
          <w:lang w:val="en-GB"/>
        </w:rPr>
        <w:t xml:space="preserve"> </w:t>
      </w:r>
      <w:r w:rsidR="000D0318" w:rsidRPr="000D0318">
        <w:rPr>
          <w:lang w:val="en-GB"/>
        </w:rPr>
        <w:t>(</w:t>
      </w:r>
      <w:hyperlink r:id="rId11" w:history="1">
        <w:r w:rsidR="000D0318" w:rsidRPr="000D0318">
          <w:rPr>
            <w:rStyle w:val="Hyperlink"/>
            <w:color w:val="auto"/>
            <w:u w:val="none"/>
            <w:lang w:val="en-GB"/>
          </w:rPr>
          <w:t>juanpablo.mottola@gmail.com</w:t>
        </w:r>
      </w:hyperlink>
      <w:r w:rsidR="000D0318" w:rsidRPr="000D0318">
        <w:rPr>
          <w:lang w:val="en-GB"/>
        </w:rPr>
        <w:t>), INCE expert; Guido Tomas Quiroga (</w:t>
      </w:r>
      <w:hyperlink r:id="rId12" w:history="1">
        <w:r w:rsidR="000D0318" w:rsidRPr="000D0318">
          <w:rPr>
            <w:rStyle w:val="Hyperlink"/>
            <w:lang w:val="en-GB"/>
          </w:rPr>
          <w:t>guido.tomasquiroga@wfp.org</w:t>
        </w:r>
      </w:hyperlink>
      <w:r w:rsidR="000D0318" w:rsidRPr="000D0318">
        <w:rPr>
          <w:lang w:val="en-GB"/>
        </w:rPr>
        <w:t>), WFP evaluation officer</w:t>
      </w:r>
      <w:r w:rsidR="0094454F">
        <w:rPr>
          <w:lang w:val="en-GB"/>
        </w:rPr>
        <w:t>, Eddy Garcia (</w:t>
      </w:r>
      <w:hyperlink r:id="rId13" w:history="1">
        <w:r w:rsidR="0094454F" w:rsidRPr="00EB4E82">
          <w:rPr>
            <w:rStyle w:val="Hyperlink"/>
            <w:lang w:val="en-GB"/>
          </w:rPr>
          <w:t>eddy.garcia@mideplan.gov.cr</w:t>
        </w:r>
      </w:hyperlink>
      <w:r w:rsidR="0094454F">
        <w:rPr>
          <w:lang w:val="en-GB"/>
        </w:rPr>
        <w:t xml:space="preserve">), </w:t>
      </w:r>
      <w:r w:rsidR="009156B8">
        <w:rPr>
          <w:lang w:val="en-GB"/>
        </w:rPr>
        <w:t>Head of Evlauation, Ministry of Planning Costa Rica</w:t>
      </w:r>
    </w:p>
    <w:p w14:paraId="10FF438B" w14:textId="77777777" w:rsidR="001C7BB0" w:rsidRPr="000D0318" w:rsidRDefault="001C7BB0" w:rsidP="001C7BB0">
      <w:pPr>
        <w:rPr>
          <w:lang w:val="en-GB"/>
        </w:rPr>
      </w:pPr>
    </w:p>
    <w:sectPr w:rsidR="001C7BB0" w:rsidRPr="000D03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C57043"/>
    <w:multiLevelType w:val="hybridMultilevel"/>
    <w:tmpl w:val="F34A1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6C7490"/>
    <w:multiLevelType w:val="hybridMultilevel"/>
    <w:tmpl w:val="06B6B3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9F21B6"/>
    <w:multiLevelType w:val="hybridMultilevel"/>
    <w:tmpl w:val="EC0415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07800576">
    <w:abstractNumId w:val="1"/>
  </w:num>
  <w:num w:numId="2" w16cid:durableId="20017774">
    <w:abstractNumId w:val="0"/>
  </w:num>
  <w:num w:numId="3" w16cid:durableId="335114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480"/>
    <w:rsid w:val="00003FEA"/>
    <w:rsid w:val="00005220"/>
    <w:rsid w:val="00032AA3"/>
    <w:rsid w:val="000904E1"/>
    <w:rsid w:val="000D0318"/>
    <w:rsid w:val="000F5417"/>
    <w:rsid w:val="00194267"/>
    <w:rsid w:val="001B34F3"/>
    <w:rsid w:val="001C7BB0"/>
    <w:rsid w:val="001D2929"/>
    <w:rsid w:val="00233D63"/>
    <w:rsid w:val="00244758"/>
    <w:rsid w:val="002522AC"/>
    <w:rsid w:val="002B3B87"/>
    <w:rsid w:val="002E0F6B"/>
    <w:rsid w:val="00385CB6"/>
    <w:rsid w:val="003A3CB6"/>
    <w:rsid w:val="003B3796"/>
    <w:rsid w:val="003C5B45"/>
    <w:rsid w:val="0043129D"/>
    <w:rsid w:val="00486DA2"/>
    <w:rsid w:val="004B1E42"/>
    <w:rsid w:val="00530C99"/>
    <w:rsid w:val="00546E99"/>
    <w:rsid w:val="005D5E15"/>
    <w:rsid w:val="005F161D"/>
    <w:rsid w:val="00660E27"/>
    <w:rsid w:val="006A715F"/>
    <w:rsid w:val="007320FF"/>
    <w:rsid w:val="0074119C"/>
    <w:rsid w:val="007B756E"/>
    <w:rsid w:val="007F187F"/>
    <w:rsid w:val="008A1C02"/>
    <w:rsid w:val="009156B8"/>
    <w:rsid w:val="0094454F"/>
    <w:rsid w:val="00945662"/>
    <w:rsid w:val="00953C6C"/>
    <w:rsid w:val="00997C19"/>
    <w:rsid w:val="009C6251"/>
    <w:rsid w:val="009D0626"/>
    <w:rsid w:val="00A027B9"/>
    <w:rsid w:val="00A95DDA"/>
    <w:rsid w:val="00AC52B3"/>
    <w:rsid w:val="00B26803"/>
    <w:rsid w:val="00B57704"/>
    <w:rsid w:val="00B62D1A"/>
    <w:rsid w:val="00BC2C1A"/>
    <w:rsid w:val="00BE5E70"/>
    <w:rsid w:val="00BF4591"/>
    <w:rsid w:val="00C928E8"/>
    <w:rsid w:val="00DC3310"/>
    <w:rsid w:val="00DD6B62"/>
    <w:rsid w:val="00DF6320"/>
    <w:rsid w:val="00E00590"/>
    <w:rsid w:val="00E10F88"/>
    <w:rsid w:val="00E46116"/>
    <w:rsid w:val="00E47DDA"/>
    <w:rsid w:val="00E94480"/>
    <w:rsid w:val="00EE098F"/>
    <w:rsid w:val="00F246F3"/>
    <w:rsid w:val="00FA446C"/>
    <w:rsid w:val="35078CFE"/>
    <w:rsid w:val="4AD8864D"/>
    <w:rsid w:val="6A76F3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CDEE1"/>
  <w15:chartTrackingRefBased/>
  <w15:docId w15:val="{9AE481DF-B890-401C-A9F1-19AAB0C2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944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E944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E94480"/>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E94480"/>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94480"/>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E9448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9448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9448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9448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94480"/>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E94480"/>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E94480"/>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E94480"/>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94480"/>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E9448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9448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9448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94480"/>
    <w:rPr>
      <w:rFonts w:eastAsiaTheme="majorEastAsia" w:cstheme="majorBidi"/>
      <w:color w:val="272727" w:themeColor="text1" w:themeTint="D8"/>
    </w:rPr>
  </w:style>
  <w:style w:type="paragraph" w:styleId="Titel">
    <w:name w:val="Title"/>
    <w:basedOn w:val="Standard"/>
    <w:next w:val="Standard"/>
    <w:link w:val="TitelZchn"/>
    <w:uiPriority w:val="10"/>
    <w:qFormat/>
    <w:rsid w:val="00E944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9448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9448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9448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9448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94480"/>
    <w:rPr>
      <w:i/>
      <w:iCs/>
      <w:color w:val="404040" w:themeColor="text1" w:themeTint="BF"/>
    </w:rPr>
  </w:style>
  <w:style w:type="paragraph" w:styleId="Listenabsatz">
    <w:name w:val="List Paragraph"/>
    <w:basedOn w:val="Standard"/>
    <w:uiPriority w:val="34"/>
    <w:qFormat/>
    <w:rsid w:val="00E94480"/>
    <w:pPr>
      <w:ind w:left="720"/>
      <w:contextualSpacing/>
    </w:pPr>
  </w:style>
  <w:style w:type="character" w:styleId="IntensiveHervorhebung">
    <w:name w:val="Intense Emphasis"/>
    <w:basedOn w:val="Absatz-Standardschriftart"/>
    <w:uiPriority w:val="21"/>
    <w:qFormat/>
    <w:rsid w:val="00E94480"/>
    <w:rPr>
      <w:i/>
      <w:iCs/>
      <w:color w:val="2F5496" w:themeColor="accent1" w:themeShade="BF"/>
    </w:rPr>
  </w:style>
  <w:style w:type="paragraph" w:styleId="IntensivesZitat">
    <w:name w:val="Intense Quote"/>
    <w:basedOn w:val="Standard"/>
    <w:next w:val="Standard"/>
    <w:link w:val="IntensivesZitatZchn"/>
    <w:uiPriority w:val="30"/>
    <w:qFormat/>
    <w:rsid w:val="00E944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E94480"/>
    <w:rPr>
      <w:i/>
      <w:iCs/>
      <w:color w:val="2F5496" w:themeColor="accent1" w:themeShade="BF"/>
    </w:rPr>
  </w:style>
  <w:style w:type="character" w:styleId="IntensiverVerweis">
    <w:name w:val="Intense Reference"/>
    <w:basedOn w:val="Absatz-Standardschriftart"/>
    <w:uiPriority w:val="32"/>
    <w:qFormat/>
    <w:rsid w:val="00E94480"/>
    <w:rPr>
      <w:b/>
      <w:bCs/>
      <w:smallCaps/>
      <w:color w:val="2F5496" w:themeColor="accent1" w:themeShade="BF"/>
      <w:spacing w:val="5"/>
    </w:rPr>
  </w:style>
  <w:style w:type="character" w:styleId="Hyperlink">
    <w:name w:val="Hyperlink"/>
    <w:basedOn w:val="Absatz-Standardschriftart"/>
    <w:uiPriority w:val="99"/>
    <w:unhideWhenUsed/>
    <w:rsid w:val="00385CB6"/>
    <w:rPr>
      <w:color w:val="0563C1" w:themeColor="hyperlink"/>
      <w:u w:val="single"/>
    </w:rPr>
  </w:style>
  <w:style w:type="character" w:styleId="NichtaufgelsteErwhnung">
    <w:name w:val="Unresolved Mention"/>
    <w:basedOn w:val="Absatz-Standardschriftart"/>
    <w:uiPriority w:val="99"/>
    <w:semiHidden/>
    <w:unhideWhenUsed/>
    <w:rsid w:val="00385CB6"/>
    <w:rPr>
      <w:color w:val="605E5C"/>
      <w:shd w:val="clear" w:color="auto" w:fill="E1DFDD"/>
    </w:rPr>
  </w:style>
  <w:style w:type="paragraph" w:customStyle="1" w:styleId="Standard1">
    <w:name w:val="Standard1"/>
    <w:rsid w:val="001B34F3"/>
    <w:pPr>
      <w:suppressAutoHyphens/>
      <w:autoSpaceDN w:val="0"/>
      <w:spacing w:line="254" w:lineRule="auto"/>
    </w:pPr>
    <w:rPr>
      <w:rFonts w:ascii="Aptos" w:eastAsia="Aptos" w:hAnsi="Aptos" w:cs="Times New Roman"/>
      <w:kern w:val="3"/>
      <w14:ligatures w14:val="none"/>
    </w:rPr>
  </w:style>
  <w:style w:type="paragraph" w:customStyle="1" w:styleId="Kommentartext1">
    <w:name w:val="Kommentartext1"/>
    <w:basedOn w:val="Standard1"/>
    <w:rsid w:val="001B34F3"/>
    <w:pPr>
      <w:spacing w:line="240" w:lineRule="auto"/>
    </w:pPr>
    <w:rPr>
      <w:sz w:val="20"/>
      <w:szCs w:val="20"/>
    </w:rPr>
  </w:style>
  <w:style w:type="character" w:styleId="Kommentarzeichen">
    <w:name w:val="annotation reference"/>
    <w:basedOn w:val="Absatz-Standardschriftart"/>
    <w:uiPriority w:val="99"/>
    <w:semiHidden/>
    <w:unhideWhenUsed/>
    <w:rsid w:val="001B34F3"/>
    <w:rPr>
      <w:sz w:val="16"/>
      <w:szCs w:val="16"/>
    </w:rPr>
  </w:style>
  <w:style w:type="character" w:customStyle="1" w:styleId="Absatz-Standardschriftart1">
    <w:name w:val="Absatz-Standardschriftart1"/>
    <w:rsid w:val="001B34F3"/>
  </w:style>
  <w:style w:type="character" w:customStyle="1" w:styleId="Kommentarzeichen1">
    <w:name w:val="Kommentarzeichen1"/>
    <w:basedOn w:val="Absatz-Standardschriftart1"/>
    <w:rsid w:val="001B34F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643467">
      <w:bodyDiv w:val="1"/>
      <w:marLeft w:val="0"/>
      <w:marRight w:val="0"/>
      <w:marTop w:val="0"/>
      <w:marBottom w:val="0"/>
      <w:divBdr>
        <w:top w:val="none" w:sz="0" w:space="0" w:color="auto"/>
        <w:left w:val="none" w:sz="0" w:space="0" w:color="auto"/>
        <w:bottom w:val="none" w:sz="0" w:space="0" w:color="auto"/>
        <w:right w:val="none" w:sz="0" w:space="0" w:color="auto"/>
      </w:divBdr>
    </w:div>
    <w:div w:id="1082919159">
      <w:bodyDiv w:val="1"/>
      <w:marLeft w:val="0"/>
      <w:marRight w:val="0"/>
      <w:marTop w:val="0"/>
      <w:marBottom w:val="0"/>
      <w:divBdr>
        <w:top w:val="none" w:sz="0" w:space="0" w:color="auto"/>
        <w:left w:val="none" w:sz="0" w:space="0" w:color="auto"/>
        <w:bottom w:val="none" w:sz="0" w:space="0" w:color="auto"/>
        <w:right w:val="none" w:sz="0" w:space="0" w:color="auto"/>
      </w:divBdr>
    </w:div>
    <w:div w:id="1120151593">
      <w:bodyDiv w:val="1"/>
      <w:marLeft w:val="0"/>
      <w:marRight w:val="0"/>
      <w:marTop w:val="0"/>
      <w:marBottom w:val="0"/>
      <w:divBdr>
        <w:top w:val="none" w:sz="0" w:space="0" w:color="auto"/>
        <w:left w:val="none" w:sz="0" w:space="0" w:color="auto"/>
        <w:bottom w:val="none" w:sz="0" w:space="0" w:color="auto"/>
        <w:right w:val="none" w:sz="0" w:space="0" w:color="auto"/>
      </w:divBdr>
    </w:div>
    <w:div w:id="113626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kunda.chirau@wits.ac.za" TargetMode="External"/><Relationship Id="rId13" Type="http://schemas.openxmlformats.org/officeDocument/2006/relationships/hyperlink" Target="mailto:eddy.garcia@mideplan.gov.c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uido.tomasquiroga@wfp.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uanpablo.mottola@gmai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ghiano.celeste@gmail.com" TargetMode="External"/><Relationship Id="rId4" Type="http://schemas.openxmlformats.org/officeDocument/2006/relationships/numbering" Target="numbering.xml"/><Relationship Id="rId9" Type="http://schemas.openxmlformats.org/officeDocument/2006/relationships/hyperlink" Target="mailto:sarah.klier@deval.org"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0196d2-9b3f-4147-8ad2-d3ff9675d223" xsi:nil="true"/>
    <lcf76f155ced4ddcb4097134ff3c332f xmlns="a29c68ad-b926-4511-bc63-753f3a67824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550C010F33CCF428C0A8D2719F1A1A0" ma:contentTypeVersion="18" ma:contentTypeDescription="Ein neues Dokument erstellen." ma:contentTypeScope="" ma:versionID="28ae049493955083e643b4d9fff5f10e">
  <xsd:schema xmlns:xsd="http://www.w3.org/2001/XMLSchema" xmlns:xs="http://www.w3.org/2001/XMLSchema" xmlns:p="http://schemas.microsoft.com/office/2006/metadata/properties" xmlns:ns2="a29c68ad-b926-4511-bc63-753f3a678245" xmlns:ns3="bf0196d2-9b3f-4147-8ad2-d3ff9675d223" targetNamespace="http://schemas.microsoft.com/office/2006/metadata/properties" ma:root="true" ma:fieldsID="5662ed824de4bdd3d918d5f3d4d7f18b" ns2:_="" ns3:_="">
    <xsd:import namespace="a29c68ad-b926-4511-bc63-753f3a678245"/>
    <xsd:import namespace="bf0196d2-9b3f-4147-8ad2-d3ff9675d2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c68ad-b926-4511-bc63-753f3a678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4ae1c936-d599-41f4-abac-2fb45021f9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0196d2-9b3f-4147-8ad2-d3ff9675d223"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c2f5b7ce-e93f-40bb-aaa0-5b2ca7ab8ab9}" ma:internalName="TaxCatchAll" ma:showField="CatchAllData" ma:web="bf0196d2-9b3f-4147-8ad2-d3ff9675d2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AF5D9C-5350-4D6E-BAF2-5A0ECCE7EBE0}">
  <ds:schemaRefs>
    <ds:schemaRef ds:uri="http://schemas.microsoft.com/office/2006/metadata/properties"/>
    <ds:schemaRef ds:uri="http://schemas.microsoft.com/office/infopath/2007/PartnerControls"/>
    <ds:schemaRef ds:uri="bf0196d2-9b3f-4147-8ad2-d3ff9675d223"/>
    <ds:schemaRef ds:uri="a29c68ad-b926-4511-bc63-753f3a678245"/>
  </ds:schemaRefs>
</ds:datastoreItem>
</file>

<file path=customXml/itemProps2.xml><?xml version="1.0" encoding="utf-8"?>
<ds:datastoreItem xmlns:ds="http://schemas.openxmlformats.org/officeDocument/2006/customXml" ds:itemID="{934E3A48-0E3D-4F88-B968-485693D75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c68ad-b926-4511-bc63-753f3a678245"/>
    <ds:schemaRef ds:uri="bf0196d2-9b3f-4147-8ad2-d3ff9675d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5D7A12-7EE8-400E-979F-AE328B837A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4604</Characters>
  <Application>Microsoft Office Word</Application>
  <DocSecurity>0</DocSecurity>
  <Lines>38</Lines>
  <Paragraphs>10</Paragraphs>
  <ScaleCrop>false</ScaleCrop>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Sanz, Juan Carlos</dc:creator>
  <cp:keywords/>
  <dc:description/>
  <cp:lastModifiedBy>SarahDesirée Klier</cp:lastModifiedBy>
  <cp:revision>6</cp:revision>
  <dcterms:created xsi:type="dcterms:W3CDTF">2024-07-08T13:29:00Z</dcterms:created>
  <dcterms:modified xsi:type="dcterms:W3CDTF">2024-07-08T13:36:00Z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0x0101009550C010F33CCF428C0A8D2719F1A1A0</vt:lpwstr>
  </property>
  <property fmtid="{D5CDD505-2E9C-101B-9397-08002B2CF9AE}" pid="3" name="MediaServiceImageTags">
    <vt:lpwstr/>
  </property>
</Properties>
</file>