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0E19B2A0" w:rsidR="00ED78A0" w:rsidRPr="009D0066" w:rsidRDefault="00577DFA" w:rsidP="002177CD">
            <w:pPr>
              <w:spacing w:after="120"/>
              <w:contextualSpacing/>
              <w:jc w:val="both"/>
              <w:rPr>
                <w:rFonts w:cstheme="minorHAnsi"/>
              </w:rPr>
            </w:pPr>
            <w:r>
              <w:rPr>
                <w:rFonts w:cstheme="minorHAnsi"/>
              </w:rPr>
              <w:t xml:space="preserve">Dr </w:t>
            </w:r>
            <w:r w:rsidR="00244107">
              <w:rPr>
                <w:rFonts w:cstheme="minorHAnsi"/>
              </w:rPr>
              <w:t xml:space="preserve">Zenda </w:t>
            </w:r>
            <w:r w:rsidR="0020052E">
              <w:rPr>
                <w:rFonts w:cstheme="minorHAnsi"/>
              </w:rPr>
              <w:t>Ofir</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4159DE44" w:rsidR="009368D6" w:rsidRPr="009D0066" w:rsidRDefault="00ED78A0" w:rsidP="002177CD">
            <w:pPr>
              <w:spacing w:after="120"/>
              <w:contextualSpacing/>
              <w:jc w:val="both"/>
              <w:rPr>
                <w:rFonts w:cstheme="minorHAnsi"/>
              </w:rPr>
            </w:pPr>
            <w:r>
              <w:rPr>
                <w:rFonts w:cstheme="minorHAnsi"/>
              </w:rPr>
              <w:t>South Africa</w:t>
            </w:r>
            <w:r w:rsidR="0020052E">
              <w:rPr>
                <w:rFonts w:cstheme="minorHAnsi"/>
              </w:rPr>
              <w:t>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032F5D36" w:rsidR="008350D6" w:rsidRPr="009D0066" w:rsidRDefault="0020052E" w:rsidP="002177CD">
            <w:pPr>
              <w:spacing w:after="120"/>
              <w:contextualSpacing/>
              <w:jc w:val="both"/>
              <w:rPr>
                <w:rFonts w:cstheme="minorHAnsi"/>
              </w:rPr>
            </w:pPr>
            <w:r>
              <w:rPr>
                <w:rFonts w:cstheme="minorHAnsi"/>
              </w:rPr>
              <w:t>Fem</w:t>
            </w:r>
            <w:r w:rsidR="00ED78A0">
              <w:rPr>
                <w:rFonts w:cstheme="minorHAnsi"/>
              </w:rPr>
              <w:t xml:space="preserve">ale </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75201927" w:rsidR="009368D6" w:rsidRPr="009D0066" w:rsidRDefault="0020052E" w:rsidP="002177CD">
            <w:pPr>
              <w:spacing w:after="120"/>
              <w:contextualSpacing/>
              <w:jc w:val="both"/>
              <w:rPr>
                <w:rFonts w:cstheme="minorHAnsi"/>
              </w:rPr>
            </w:pPr>
            <w:r>
              <w:rPr>
                <w:rFonts w:cstheme="minorHAnsi"/>
              </w:rPr>
              <w:t>Switzerland</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710A29B1" w:rsidR="00ED78A0" w:rsidRPr="009D0066" w:rsidRDefault="00ED78A0" w:rsidP="002177CD">
            <w:pPr>
              <w:spacing w:after="120"/>
              <w:contextualSpacing/>
              <w:jc w:val="both"/>
              <w:rPr>
                <w:rFonts w:cstheme="minorHAnsi"/>
              </w:rPr>
            </w:pPr>
            <w:r>
              <w:rPr>
                <w:rFonts w:cstheme="minorHAnsi"/>
              </w:rPr>
              <w:t>International Evaluation Academy</w:t>
            </w:r>
            <w:r w:rsidR="00577DFA">
              <w:rPr>
                <w:rFonts w:cstheme="minorHAnsi"/>
              </w:rPr>
              <w:t xml:space="preserve"> (IEAc)</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56BEF54C" w14:textId="1A909F75" w:rsidR="009368D6" w:rsidRDefault="00000000" w:rsidP="002177CD">
            <w:pPr>
              <w:spacing w:after="120"/>
              <w:contextualSpacing/>
              <w:jc w:val="both"/>
              <w:rPr>
                <w:rFonts w:cstheme="minorHAnsi"/>
              </w:rPr>
            </w:pPr>
            <w:hyperlink r:id="rId11" w:history="1">
              <w:r w:rsidR="0020052E" w:rsidRPr="004A1E26">
                <w:rPr>
                  <w:rStyle w:val="Hyperlink"/>
                  <w:rFonts w:cstheme="minorHAnsi"/>
                </w:rPr>
                <w:t>zenda@evalnet.co.za</w:t>
              </w:r>
            </w:hyperlink>
          </w:p>
          <w:p w14:paraId="2BBB6AC2" w14:textId="540D98B9" w:rsidR="0020052E" w:rsidRPr="009D0066" w:rsidRDefault="00577DFA" w:rsidP="002177CD">
            <w:pPr>
              <w:spacing w:after="120"/>
              <w:contextualSpacing/>
              <w:jc w:val="both"/>
              <w:rPr>
                <w:rFonts w:cstheme="minorHAnsi"/>
              </w:rPr>
            </w:pPr>
            <w:r>
              <w:rPr>
                <w:rFonts w:cstheme="minorHAnsi"/>
              </w:rPr>
              <w:t>+41-79</w:t>
            </w:r>
            <w:r w:rsidR="00530F49">
              <w:rPr>
                <w:rFonts w:cstheme="minorHAnsi"/>
              </w:rPr>
              <w:t>-</w:t>
            </w:r>
            <w:r>
              <w:rPr>
                <w:rFonts w:cstheme="minorHAnsi"/>
              </w:rPr>
              <w:t>676</w:t>
            </w:r>
            <w:r w:rsidR="00530F49">
              <w:rPr>
                <w:rFonts w:cstheme="minorHAnsi"/>
              </w:rPr>
              <w:t xml:space="preserve"> </w:t>
            </w:r>
            <w:r>
              <w:rPr>
                <w:rFonts w:cstheme="minorHAnsi"/>
              </w:rPr>
              <w:t>8432</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121D00A6" w:rsidR="009368D6" w:rsidRPr="009D0066" w:rsidRDefault="007032D0" w:rsidP="00530F49">
            <w:pPr>
              <w:spacing w:after="120"/>
              <w:contextualSpacing/>
              <w:rPr>
                <w:rFonts w:cstheme="minorHAnsi"/>
              </w:rPr>
            </w:pPr>
            <w:r>
              <w:rPr>
                <w:rFonts w:cstheme="minorHAnsi"/>
              </w:rPr>
              <w:t>Shifting focus</w:t>
            </w:r>
            <w:r w:rsidR="00017C06">
              <w:rPr>
                <w:rFonts w:cstheme="minorHAnsi"/>
              </w:rPr>
              <w:t xml:space="preserve"> in a VUCA world</w:t>
            </w:r>
            <w:r>
              <w:rPr>
                <w:rFonts w:cstheme="minorHAnsi"/>
              </w:rPr>
              <w:t xml:space="preserve">: From impact obsession to design evaluation </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07276A4F" w:rsidR="009368D6" w:rsidRPr="007032D0" w:rsidRDefault="009368D6" w:rsidP="00993845">
            <w:pPr>
              <w:spacing w:after="120"/>
              <w:contextualSpacing/>
              <w:rPr>
                <w:rFonts w:cstheme="minorHAnsi"/>
                <w:b/>
                <w:bCs/>
              </w:rPr>
            </w:pPr>
            <w:r w:rsidRPr="0020052E">
              <w:rPr>
                <w:rFonts w:cstheme="minorHAnsi"/>
              </w:rPr>
              <w:t>□</w:t>
            </w:r>
            <w:r w:rsidR="007032D0" w:rsidRPr="007032D0">
              <w:rPr>
                <w:rFonts w:cstheme="minorHAnsi"/>
                <w:b/>
                <w:bCs/>
              </w:rPr>
              <w:t>X</w:t>
            </w:r>
            <w:r w:rsidR="007032D0">
              <w:rPr>
                <w:rFonts w:cstheme="minorHAnsi"/>
                <w:b/>
                <w:bCs/>
              </w:rPr>
              <w:t>.</w:t>
            </w:r>
            <w:r w:rsidR="007032D0" w:rsidRPr="007032D0">
              <w:rPr>
                <w:rFonts w:cstheme="minorHAnsi"/>
                <w:b/>
                <w:bCs/>
              </w:rPr>
              <w:t xml:space="preserve"> </w:t>
            </w:r>
            <w:r w:rsidR="00BC1E41" w:rsidRPr="007032D0">
              <w:rPr>
                <w:rFonts w:cstheme="minorHAnsi"/>
                <w:b/>
                <w:bCs/>
              </w:rPr>
              <w:t xml:space="preserve">Stream B. </w:t>
            </w:r>
            <w:r w:rsidR="003E6831" w:rsidRPr="007032D0">
              <w:rPr>
                <w:rFonts w:cstheme="minorHAnsi"/>
                <w:b/>
                <w:bCs/>
              </w:rPr>
              <w:t>Inclusive National Evaluation Systems</w:t>
            </w:r>
          </w:p>
          <w:p w14:paraId="7426A507" w14:textId="77777777" w:rsidR="003E6831" w:rsidRDefault="003E6831" w:rsidP="00993845">
            <w:pPr>
              <w:spacing w:after="120"/>
              <w:contextualSpacing/>
              <w:rPr>
                <w:rFonts w:cstheme="minorHAnsi"/>
              </w:rPr>
            </w:pPr>
          </w:p>
          <w:p w14:paraId="62DB2D42" w14:textId="63FF50AE" w:rsidR="0036514B" w:rsidRPr="0036514B" w:rsidRDefault="0036514B" w:rsidP="00993845">
            <w:pPr>
              <w:spacing w:after="120"/>
              <w:contextualSpacing/>
              <w:rPr>
                <w:rFonts w:cstheme="minorHAnsi"/>
                <w:i/>
                <w:iCs/>
              </w:rPr>
            </w:pPr>
            <w:r w:rsidRPr="0036514B">
              <w:rPr>
                <w:rFonts w:cstheme="minorHAnsi"/>
                <w:i/>
                <w:iCs/>
              </w:rPr>
              <w:t xml:space="preserve">Alternatively: </w:t>
            </w:r>
          </w:p>
          <w:p w14:paraId="467EA895" w14:textId="28B7D090" w:rsidR="009368D6" w:rsidRPr="0020052E" w:rsidRDefault="009368D6" w:rsidP="00993845">
            <w:pPr>
              <w:spacing w:after="120"/>
              <w:contextualSpacing/>
              <w:rPr>
                <w:rFonts w:cstheme="minorHAnsi"/>
                <w:b/>
                <w:bCs/>
              </w:rPr>
            </w:pPr>
            <w:r w:rsidRPr="0020052E">
              <w:rPr>
                <w:rFonts w:cstheme="minorHAnsi"/>
                <w:b/>
                <w:bCs/>
              </w:rPr>
              <w:t>□</w:t>
            </w:r>
            <w:r w:rsidR="0099376A" w:rsidRPr="0020052E">
              <w:rPr>
                <w:rFonts w:cstheme="minorHAnsi"/>
                <w:b/>
                <w:bCs/>
              </w:rPr>
              <w:t xml:space="preserve"> </w:t>
            </w:r>
            <w:r w:rsidR="00BC1E41" w:rsidRPr="007032D0">
              <w:rPr>
                <w:rFonts w:cstheme="minorHAnsi"/>
              </w:rPr>
              <w:t xml:space="preserve">Stream C. </w:t>
            </w:r>
            <w:r w:rsidR="003E6831" w:rsidRPr="007032D0">
              <w:rPr>
                <w:rFonts w:cstheme="minorHAnsi"/>
              </w:rPr>
              <w:t>Future Driven Systems and Approaches</w:t>
            </w:r>
            <w:r w:rsidRPr="0020052E">
              <w:rPr>
                <w:rFonts w:cstheme="minorHAnsi"/>
                <w:b/>
                <w:bCs/>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3E2BB4B2" w:rsidR="00577DFA" w:rsidRPr="007032D0" w:rsidRDefault="007032D0" w:rsidP="007032D0">
            <w:pPr>
              <w:spacing w:after="120"/>
              <w:ind w:left="0"/>
              <w:jc w:val="both"/>
              <w:rPr>
                <w:rFonts w:cstheme="minorHAnsi"/>
                <w:i/>
                <w:iCs/>
              </w:rPr>
            </w:pPr>
            <w:r>
              <w:rPr>
                <w:rFonts w:cstheme="minorHAnsi"/>
                <w:i/>
                <w:iCs/>
              </w:rPr>
              <w:t>n/a</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59659573" w:rsidR="009368D6" w:rsidRPr="009D0066" w:rsidRDefault="009368D6" w:rsidP="00797E83">
            <w:pPr>
              <w:pStyle w:val="CommentText"/>
              <w:ind w:left="0"/>
              <w:rPr>
                <w:rFonts w:cstheme="minorHAnsi"/>
                <w:sz w:val="22"/>
                <w:szCs w:val="22"/>
              </w:rPr>
            </w:pPr>
            <w:r w:rsidRPr="009D0066">
              <w:rPr>
                <w:rFonts w:cstheme="minorHAnsi"/>
                <w:sz w:val="22"/>
                <w:szCs w:val="22"/>
              </w:rPr>
              <w:t>□</w:t>
            </w:r>
            <w:proofErr w:type="gramStart"/>
            <w:r w:rsidR="007032D0" w:rsidRPr="007032D0">
              <w:rPr>
                <w:rFonts w:cstheme="minorHAnsi"/>
                <w:b/>
                <w:bCs/>
                <w:sz w:val="22"/>
                <w:szCs w:val="22"/>
              </w:rPr>
              <w:t xml:space="preserve">X </w:t>
            </w:r>
            <w:r w:rsidRPr="009D0066">
              <w:rPr>
                <w:rFonts w:cstheme="minorHAnsi"/>
                <w:sz w:val="22"/>
                <w:szCs w:val="22"/>
              </w:rPr>
              <w:t xml:space="preserve"> </w:t>
            </w:r>
            <w:r w:rsidRPr="0036514B">
              <w:rPr>
                <w:rFonts w:cstheme="minorHAnsi"/>
                <w:b/>
                <w:bCs/>
                <w:sz w:val="22"/>
                <w:szCs w:val="22"/>
              </w:rPr>
              <w:t>Formal</w:t>
            </w:r>
            <w:proofErr w:type="gramEnd"/>
            <w:r w:rsidRPr="0036514B">
              <w:rPr>
                <w:rFonts w:cstheme="minorHAnsi"/>
                <w:b/>
                <w:bCs/>
                <w:sz w:val="22"/>
                <w:szCs w:val="22"/>
              </w:rPr>
              <w:t xml:space="preserve"> presentation</w:t>
            </w:r>
            <w:r w:rsidRPr="009D0066">
              <w:rPr>
                <w:rFonts w:cstheme="minorHAnsi"/>
                <w:sz w:val="22"/>
                <w:szCs w:val="22"/>
              </w:rPr>
              <w:t xml:space="preserve">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4D402568" w14:textId="6C96970B"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16BEBC76" w14:textId="699B321F" w:rsidR="009368D6" w:rsidRPr="009D0066" w:rsidRDefault="009368D6" w:rsidP="0020052E">
            <w:pPr>
              <w:pStyle w:val="CommentText"/>
              <w:ind w:left="0"/>
              <w:rPr>
                <w:rFonts w:cstheme="minorHAnsi"/>
                <w:sz w:val="22"/>
                <w:szCs w:val="22"/>
              </w:rPr>
            </w:pPr>
            <w:r w:rsidRPr="009D0066">
              <w:rPr>
                <w:rFonts w:cstheme="minorHAnsi"/>
                <w:sz w:val="22"/>
                <w:szCs w:val="22"/>
              </w:rPr>
              <w:t>□</w:t>
            </w:r>
            <w:r w:rsidRPr="00577DFA">
              <w:rPr>
                <w:rFonts w:cstheme="minorHAnsi"/>
                <w:b/>
                <w:bCs/>
                <w:sz w:val="22"/>
                <w:szCs w:val="22"/>
              </w:rPr>
              <w:t xml:space="preserve"> </w:t>
            </w:r>
            <w:r>
              <w:rPr>
                <w:rFonts w:cstheme="minorHAnsi"/>
                <w:sz w:val="22"/>
                <w:szCs w:val="22"/>
              </w:rPr>
              <w:t>Other (please specify)</w:t>
            </w:r>
            <w:r w:rsidR="0058642A">
              <w:rPr>
                <w:rFonts w:cstheme="minorHAnsi"/>
                <w:sz w:val="22"/>
                <w:szCs w:val="22"/>
              </w:rPr>
              <w:t>:</w:t>
            </w: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56448E11" w:rsidR="009368D6" w:rsidRDefault="009368D6" w:rsidP="002177CD">
            <w:pPr>
              <w:pStyle w:val="CommentText"/>
              <w:rPr>
                <w:rFonts w:cstheme="minorHAnsi"/>
                <w:sz w:val="22"/>
                <w:szCs w:val="22"/>
              </w:rPr>
            </w:pPr>
            <w:r w:rsidRPr="009D0066">
              <w:rPr>
                <w:rFonts w:cstheme="minorHAnsi"/>
                <w:sz w:val="22"/>
                <w:szCs w:val="22"/>
              </w:rPr>
              <w:t>□</w:t>
            </w:r>
            <w:r w:rsidRPr="0020052E">
              <w:rPr>
                <w:rFonts w:cstheme="minorHAnsi"/>
                <w:sz w:val="22"/>
                <w:szCs w:val="22"/>
              </w:rPr>
              <w:t xml:space="preserve"> Yes</w:t>
            </w:r>
            <w:r w:rsidR="00ED78A0">
              <w:rPr>
                <w:rFonts w:cstheme="minorHAnsi"/>
                <w:b/>
                <w:bCs/>
                <w:sz w:val="22"/>
                <w:szCs w:val="22"/>
              </w:rPr>
              <w:t xml:space="preserve"> </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w:t>
            </w:r>
            <w:r w:rsidRPr="0020052E">
              <w:rPr>
                <w:rFonts w:cstheme="minorHAnsi"/>
                <w:b/>
                <w:bCs/>
                <w:sz w:val="22"/>
                <w:szCs w:val="22"/>
              </w:rPr>
              <w:t>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w:t>
            </w:r>
            <w:r w:rsidRPr="00ED78A0">
              <w:rPr>
                <w:rFonts w:cstheme="minorHAnsi"/>
                <w:b/>
                <w:bCs/>
                <w:sz w:val="22"/>
                <w:szCs w:val="22"/>
              </w:rPr>
              <w:t>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60288547" w:rsidR="00A018CE" w:rsidRPr="00FE647C" w:rsidRDefault="00DD6895" w:rsidP="00A018CE">
      <w:pPr>
        <w:rPr>
          <w:b/>
          <w:bCs/>
        </w:rPr>
      </w:pPr>
      <w:r>
        <w:rPr>
          <w:b/>
          <w:bCs/>
        </w:rPr>
        <w:t xml:space="preserve">NEC </w:t>
      </w:r>
      <w:r w:rsidR="00A018CE" w:rsidRPr="00FE647C">
        <w:rPr>
          <w:b/>
          <w:bCs/>
        </w:rPr>
        <w:t>Abstract Text (</w:t>
      </w:r>
      <w:r w:rsidR="003C7BA6">
        <w:rPr>
          <w:b/>
          <w:bCs/>
        </w:rPr>
        <w:t>m</w:t>
      </w:r>
      <w:r w:rsidR="00B22367">
        <w:rPr>
          <w:b/>
          <w:bCs/>
        </w:rPr>
        <w:t xml:space="preserve">ax. </w:t>
      </w:r>
      <w:r w:rsidR="00A018CE"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234BEB63" w14:textId="72D308F1" w:rsidR="0036514B" w:rsidRDefault="00687F83" w:rsidP="00C92AAD">
            <w:pPr>
              <w:spacing w:before="120" w:after="120"/>
              <w:ind w:left="102" w:right="102"/>
              <w:rPr>
                <w:rFonts w:ascii="Calibri" w:eastAsia="Calibri" w:hAnsi="Calibri" w:cs="Calibri"/>
                <w:color w:val="000000"/>
                <w:sz w:val="22"/>
                <w:szCs w:val="22"/>
              </w:rPr>
            </w:pPr>
            <w:r>
              <w:rPr>
                <w:rFonts w:ascii="Calibri" w:eastAsia="Calibri" w:hAnsi="Calibri" w:cs="Calibri"/>
                <w:color w:val="000000"/>
                <w:sz w:val="22"/>
                <w:szCs w:val="22"/>
              </w:rPr>
              <w:t>There is much focus</w:t>
            </w:r>
            <w:r w:rsidR="00C92AAD">
              <w:rPr>
                <w:rFonts w:ascii="Calibri" w:eastAsia="Calibri" w:hAnsi="Calibri" w:cs="Calibri"/>
                <w:color w:val="000000"/>
                <w:sz w:val="22"/>
                <w:szCs w:val="22"/>
              </w:rPr>
              <w:t xml:space="preserve"> in national evaluation systems and in the world of development more broadly</w:t>
            </w:r>
            <w:r>
              <w:rPr>
                <w:rFonts w:ascii="Calibri" w:eastAsia="Calibri" w:hAnsi="Calibri" w:cs="Calibri"/>
                <w:color w:val="000000"/>
                <w:sz w:val="22"/>
                <w:szCs w:val="22"/>
              </w:rPr>
              <w:t xml:space="preserve"> on evaluating the impact of policies, strategies and interventions. While this remains important for both learning and accountability</w:t>
            </w:r>
            <w:r w:rsidR="00C92AAD">
              <w:rPr>
                <w:rFonts w:ascii="Calibri" w:eastAsia="Calibri" w:hAnsi="Calibri" w:cs="Calibri"/>
                <w:color w:val="000000"/>
                <w:sz w:val="22"/>
                <w:szCs w:val="22"/>
              </w:rPr>
              <w:t xml:space="preserve"> purposes</w:t>
            </w:r>
            <w:r>
              <w:rPr>
                <w:rFonts w:ascii="Calibri" w:eastAsia="Calibri" w:hAnsi="Calibri" w:cs="Calibri"/>
                <w:color w:val="000000"/>
                <w:sz w:val="22"/>
                <w:szCs w:val="22"/>
              </w:rPr>
              <w:t xml:space="preserve">, </w:t>
            </w:r>
            <w:r w:rsidR="00C92AAD">
              <w:rPr>
                <w:rFonts w:ascii="Calibri" w:eastAsia="Calibri" w:hAnsi="Calibri" w:cs="Calibri"/>
                <w:color w:val="000000"/>
                <w:sz w:val="22"/>
                <w:szCs w:val="22"/>
              </w:rPr>
              <w:t xml:space="preserve">we have to recognise that we live in a VUCA world – a world defined by </w:t>
            </w:r>
            <w:r w:rsidR="00C92AAD" w:rsidRPr="0036514B">
              <w:rPr>
                <w:rFonts w:ascii="Calibri" w:eastAsia="Calibri" w:hAnsi="Calibri" w:cs="Calibri"/>
                <w:color w:val="auto"/>
                <w:sz w:val="22"/>
                <w:szCs w:val="22"/>
                <w:u w:val="single"/>
              </w:rPr>
              <w:t>v</w:t>
            </w:r>
            <w:r w:rsidR="00C92AAD" w:rsidRPr="0036514B">
              <w:rPr>
                <w:rFonts w:ascii="Calibri" w:eastAsia="Calibri" w:hAnsi="Calibri" w:cs="Calibri"/>
                <w:color w:val="auto"/>
                <w:sz w:val="22"/>
                <w:szCs w:val="22"/>
              </w:rPr>
              <w:t>olatility</w:t>
            </w:r>
            <w:r w:rsidR="00C92AAD" w:rsidRPr="0036514B">
              <w:rPr>
                <w:rStyle w:val="hgkelc"/>
                <w:color w:val="auto"/>
                <w:sz w:val="22"/>
                <w:szCs w:val="22"/>
                <w:lang w:val="en"/>
              </w:rPr>
              <w:t xml:space="preserve">, </w:t>
            </w:r>
            <w:r w:rsidR="00C92AAD" w:rsidRPr="0036514B">
              <w:rPr>
                <w:rStyle w:val="hgkelc"/>
                <w:color w:val="auto"/>
                <w:sz w:val="22"/>
                <w:szCs w:val="22"/>
                <w:u w:val="single"/>
                <w:lang w:val="en"/>
              </w:rPr>
              <w:t>u</w:t>
            </w:r>
            <w:r w:rsidR="00C92AAD" w:rsidRPr="0036514B">
              <w:rPr>
                <w:rStyle w:val="hgkelc"/>
                <w:color w:val="auto"/>
                <w:sz w:val="22"/>
                <w:szCs w:val="22"/>
                <w:lang w:val="en"/>
              </w:rPr>
              <w:t xml:space="preserve">ncertainty, </w:t>
            </w:r>
            <w:r w:rsidR="00C92AAD" w:rsidRPr="0036514B">
              <w:rPr>
                <w:rStyle w:val="hgkelc"/>
                <w:color w:val="auto"/>
                <w:sz w:val="22"/>
                <w:szCs w:val="22"/>
                <w:u w:val="single"/>
                <w:lang w:val="en"/>
              </w:rPr>
              <w:t>c</w:t>
            </w:r>
            <w:r w:rsidR="00C92AAD" w:rsidRPr="0036514B">
              <w:rPr>
                <w:rStyle w:val="hgkelc"/>
                <w:color w:val="auto"/>
                <w:sz w:val="22"/>
                <w:szCs w:val="22"/>
                <w:lang w:val="en"/>
              </w:rPr>
              <w:t xml:space="preserve">omplexity and </w:t>
            </w:r>
            <w:r w:rsidR="00C92AAD" w:rsidRPr="0036514B">
              <w:rPr>
                <w:rStyle w:val="hgkelc"/>
                <w:color w:val="auto"/>
                <w:sz w:val="22"/>
                <w:szCs w:val="22"/>
                <w:u w:val="single"/>
                <w:lang w:val="en"/>
              </w:rPr>
              <w:t>a</w:t>
            </w:r>
            <w:r w:rsidR="00C92AAD" w:rsidRPr="0036514B">
              <w:rPr>
                <w:rStyle w:val="hgkelc"/>
                <w:color w:val="auto"/>
                <w:sz w:val="22"/>
                <w:szCs w:val="22"/>
                <w:lang w:val="en"/>
              </w:rPr>
              <w:t>mbiguity</w:t>
            </w:r>
            <w:r w:rsidR="00C92AAD" w:rsidRPr="0036514B">
              <w:rPr>
                <w:rStyle w:val="hgkelc"/>
                <w:color w:val="auto"/>
                <w:sz w:val="22"/>
                <w:szCs w:val="22"/>
                <w:lang w:val="en"/>
              </w:rPr>
              <w:t>.</w:t>
            </w:r>
            <w:r w:rsidR="00C92AAD" w:rsidRPr="0036514B">
              <w:rPr>
                <w:rStyle w:val="hgkelc"/>
                <w:color w:val="auto"/>
                <w:lang w:val="en"/>
              </w:rPr>
              <w:t xml:space="preserve"> </w:t>
            </w:r>
            <w:r w:rsidR="0036514B" w:rsidRPr="0036514B">
              <w:rPr>
                <w:rFonts w:ascii="Calibri" w:eastAsia="Calibri" w:hAnsi="Calibri" w:cs="Calibri"/>
                <w:color w:val="000000"/>
                <w:sz w:val="22"/>
                <w:szCs w:val="22"/>
              </w:rPr>
              <w:t xml:space="preserve">We have to be </w:t>
            </w:r>
            <w:r w:rsidR="0036514B">
              <w:rPr>
                <w:rFonts w:ascii="Calibri" w:eastAsia="Calibri" w:hAnsi="Calibri" w:cs="Calibri"/>
                <w:color w:val="000000"/>
                <w:sz w:val="22"/>
                <w:szCs w:val="22"/>
              </w:rPr>
              <w:t>b</w:t>
            </w:r>
            <w:r w:rsidR="0036514B">
              <w:rPr>
                <w:rFonts w:ascii="Calibri" w:eastAsia="Calibri" w:hAnsi="Calibri" w:cs="Calibri"/>
                <w:color w:val="000000"/>
              </w:rPr>
              <w:t xml:space="preserve">etter </w:t>
            </w:r>
            <w:r w:rsidR="0036514B" w:rsidRPr="0036514B">
              <w:rPr>
                <w:rFonts w:ascii="Calibri" w:eastAsia="Calibri" w:hAnsi="Calibri" w:cs="Calibri"/>
                <w:color w:val="000000"/>
                <w:sz w:val="22"/>
                <w:szCs w:val="22"/>
              </w:rPr>
              <w:t xml:space="preserve">prepared for uncertain situations, and </w:t>
            </w:r>
            <w:r w:rsidR="0036514B">
              <w:rPr>
                <w:rFonts w:ascii="Calibri" w:eastAsia="Calibri" w:hAnsi="Calibri" w:cs="Calibri"/>
                <w:color w:val="000000"/>
                <w:sz w:val="22"/>
                <w:szCs w:val="22"/>
              </w:rPr>
              <w:t xml:space="preserve">able to </w:t>
            </w:r>
            <w:r w:rsidR="0036514B" w:rsidRPr="0036514B">
              <w:rPr>
                <w:rFonts w:ascii="Calibri" w:eastAsia="Calibri" w:hAnsi="Calibri" w:cs="Calibri"/>
                <w:color w:val="000000"/>
                <w:sz w:val="22"/>
                <w:szCs w:val="22"/>
              </w:rPr>
              <w:t xml:space="preserve">manage the associated risks. </w:t>
            </w:r>
            <w:r w:rsidR="0036514B">
              <w:rPr>
                <w:rFonts w:ascii="Calibri" w:eastAsia="Calibri" w:hAnsi="Calibri" w:cs="Calibri"/>
                <w:color w:val="000000"/>
                <w:sz w:val="22"/>
                <w:szCs w:val="22"/>
              </w:rPr>
              <w:t xml:space="preserve">Overly simplistic theories of change continue to be common, and together with results-based management approaches tend to assume a static situation or linear progression towards the future, often over a period of 3-5 years or more. </w:t>
            </w:r>
          </w:p>
          <w:p w14:paraId="599AF001" w14:textId="1887F96D" w:rsidR="00017C06" w:rsidRDefault="0036514B" w:rsidP="00C92AAD">
            <w:pPr>
              <w:spacing w:before="120" w:after="120"/>
              <w:ind w:left="102" w:right="102"/>
              <w:rPr>
                <w:rFonts w:ascii="Calibri" w:eastAsia="Calibri" w:hAnsi="Calibri" w:cs="Calibri"/>
                <w:color w:val="000000"/>
                <w:sz w:val="22"/>
                <w:szCs w:val="22"/>
              </w:rPr>
            </w:pPr>
            <w:r>
              <w:rPr>
                <w:rFonts w:ascii="Calibri" w:eastAsia="Calibri" w:hAnsi="Calibri" w:cs="Calibri"/>
                <w:color w:val="000000"/>
                <w:sz w:val="22"/>
                <w:szCs w:val="22"/>
              </w:rPr>
              <w:lastRenderedPageBreak/>
              <w:t>T</w:t>
            </w:r>
            <w:r w:rsidRPr="0036514B">
              <w:rPr>
                <w:rFonts w:ascii="Calibri" w:eastAsia="Calibri" w:hAnsi="Calibri" w:cs="Calibri"/>
                <w:color w:val="000000"/>
                <w:sz w:val="22"/>
                <w:szCs w:val="22"/>
              </w:rPr>
              <w:t xml:space="preserve">he chance to get </w:t>
            </w:r>
            <w:r>
              <w:rPr>
                <w:rFonts w:ascii="Calibri" w:eastAsia="Calibri" w:hAnsi="Calibri" w:cs="Calibri"/>
                <w:color w:val="000000"/>
                <w:sz w:val="22"/>
                <w:szCs w:val="22"/>
              </w:rPr>
              <w:t xml:space="preserve">positive impact can increase greatly if we shift more attention to better using the value of evaluation for front-end work, </w:t>
            </w:r>
            <w:r w:rsidR="00017C06">
              <w:rPr>
                <w:rFonts w:ascii="Calibri" w:eastAsia="Calibri" w:hAnsi="Calibri" w:cs="Calibri"/>
                <w:color w:val="000000"/>
                <w:sz w:val="22"/>
                <w:szCs w:val="22"/>
              </w:rPr>
              <w:t xml:space="preserve">before implementation or </w:t>
            </w:r>
            <w:r>
              <w:rPr>
                <w:rFonts w:ascii="Calibri" w:eastAsia="Calibri" w:hAnsi="Calibri" w:cs="Calibri"/>
                <w:color w:val="000000"/>
                <w:sz w:val="22"/>
                <w:szCs w:val="22"/>
              </w:rPr>
              <w:t xml:space="preserve">well before results start to show - specifically, </w:t>
            </w:r>
            <w:r w:rsidR="00017C06">
              <w:rPr>
                <w:rFonts w:ascii="Calibri" w:eastAsia="Calibri" w:hAnsi="Calibri" w:cs="Calibri"/>
                <w:color w:val="000000"/>
                <w:sz w:val="22"/>
                <w:szCs w:val="22"/>
              </w:rPr>
              <w:t xml:space="preserve">having </w:t>
            </w:r>
            <w:r>
              <w:rPr>
                <w:rFonts w:ascii="Calibri" w:eastAsia="Calibri" w:hAnsi="Calibri" w:cs="Calibri"/>
                <w:color w:val="000000"/>
                <w:sz w:val="22"/>
                <w:szCs w:val="22"/>
              </w:rPr>
              <w:t>a stronger focus on ‘design evaluation’, whether of policies, strategies</w:t>
            </w:r>
            <w:r w:rsidR="00017C06">
              <w:rPr>
                <w:rFonts w:ascii="Calibri" w:eastAsia="Calibri" w:hAnsi="Calibri" w:cs="Calibri"/>
                <w:color w:val="000000"/>
                <w:sz w:val="22"/>
                <w:szCs w:val="22"/>
              </w:rPr>
              <w:t>, portfolios</w:t>
            </w:r>
            <w:r>
              <w:rPr>
                <w:rFonts w:ascii="Calibri" w:eastAsia="Calibri" w:hAnsi="Calibri" w:cs="Calibri"/>
                <w:color w:val="000000"/>
                <w:sz w:val="22"/>
                <w:szCs w:val="22"/>
              </w:rPr>
              <w:t xml:space="preserve"> or </w:t>
            </w:r>
            <w:r w:rsidR="00017C06">
              <w:rPr>
                <w:rFonts w:ascii="Calibri" w:eastAsia="Calibri" w:hAnsi="Calibri" w:cs="Calibri"/>
                <w:color w:val="000000"/>
                <w:sz w:val="22"/>
                <w:szCs w:val="22"/>
              </w:rPr>
              <w:t xml:space="preserve">programmes. Especially when working towards systemic or transformative change, as required by the 2030 Agenda with its Sustainable Development Goals (SDGs), design evaluation can bolster efforts towards desired changes. </w:t>
            </w:r>
          </w:p>
          <w:p w14:paraId="5F2EFBD8" w14:textId="05230D8C" w:rsidR="00C92AAD" w:rsidRDefault="00017C06" w:rsidP="00C92AAD">
            <w:pPr>
              <w:spacing w:before="120" w:after="120"/>
              <w:ind w:left="102" w:right="102"/>
              <w:rPr>
                <w:rFonts w:ascii="Calibri" w:eastAsia="Calibri" w:hAnsi="Calibri" w:cs="Calibri"/>
                <w:color w:val="000000"/>
                <w:sz w:val="22"/>
                <w:szCs w:val="22"/>
              </w:rPr>
            </w:pPr>
            <w:r>
              <w:rPr>
                <w:rFonts w:ascii="Calibri" w:eastAsia="Calibri" w:hAnsi="Calibri" w:cs="Calibri"/>
                <w:color w:val="000000"/>
                <w:sz w:val="22"/>
                <w:szCs w:val="22"/>
              </w:rPr>
              <w:t xml:space="preserve">However, this requires evaluation questions and criteria well beyond convention, among others engaging with systems thinking and complexity concepts applied in practice. This becomes even more important when testing whether the scaling of an intervention is appropriate. </w:t>
            </w:r>
          </w:p>
          <w:p w14:paraId="175F167C" w14:textId="6B40E66E" w:rsidR="00C4707F" w:rsidRPr="00316E1F" w:rsidRDefault="00017C06" w:rsidP="00316E1F">
            <w:pPr>
              <w:spacing w:before="120" w:after="120"/>
              <w:ind w:left="102" w:right="102"/>
              <w:rPr>
                <w:rFonts w:ascii="Calibri" w:eastAsia="Calibri" w:hAnsi="Calibri" w:cs="Calibri"/>
                <w:color w:val="000000"/>
                <w:sz w:val="22"/>
                <w:szCs w:val="22"/>
              </w:rPr>
            </w:pPr>
            <w:r>
              <w:rPr>
                <w:rFonts w:ascii="Calibri" w:eastAsia="Calibri" w:hAnsi="Calibri" w:cs="Calibri"/>
                <w:color w:val="000000"/>
                <w:sz w:val="22"/>
                <w:szCs w:val="22"/>
              </w:rPr>
              <w:t>This presentation will highlight the importance of this shift</w:t>
            </w:r>
            <w:r w:rsidR="00316E1F">
              <w:rPr>
                <w:rFonts w:ascii="Calibri" w:eastAsia="Calibri" w:hAnsi="Calibri" w:cs="Calibri"/>
                <w:color w:val="000000"/>
                <w:sz w:val="22"/>
                <w:szCs w:val="22"/>
              </w:rPr>
              <w:t xml:space="preserve">, and the implications in practice for evaluation questions and criteria – including in efforts to achieve change at scale.   </w:t>
            </w: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7AC3" w14:textId="77777777" w:rsidR="00DD6477" w:rsidRDefault="00DD6477" w:rsidP="00D2741A">
      <w:pPr>
        <w:spacing w:after="0" w:line="240" w:lineRule="auto"/>
      </w:pPr>
      <w:r>
        <w:separator/>
      </w:r>
    </w:p>
  </w:endnote>
  <w:endnote w:type="continuationSeparator" w:id="0">
    <w:p w14:paraId="4F1EC1D9" w14:textId="77777777" w:rsidR="00DD6477" w:rsidRDefault="00DD6477" w:rsidP="00D2741A">
      <w:pPr>
        <w:spacing w:after="0" w:line="240" w:lineRule="auto"/>
      </w:pPr>
      <w:r>
        <w:continuationSeparator/>
      </w:r>
    </w:p>
  </w:endnote>
  <w:endnote w:type="continuationNotice" w:id="1">
    <w:p w14:paraId="0774FB77" w14:textId="77777777" w:rsidR="00DD6477" w:rsidRDefault="00DD6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B1E0" w14:textId="77777777" w:rsidR="00DD6477" w:rsidRDefault="00DD6477" w:rsidP="00D2741A">
      <w:pPr>
        <w:spacing w:after="0" w:line="240" w:lineRule="auto"/>
      </w:pPr>
      <w:r>
        <w:separator/>
      </w:r>
    </w:p>
  </w:footnote>
  <w:footnote w:type="continuationSeparator" w:id="0">
    <w:p w14:paraId="30430E1F" w14:textId="77777777" w:rsidR="00DD6477" w:rsidRDefault="00DD6477" w:rsidP="00D2741A">
      <w:pPr>
        <w:spacing w:after="0" w:line="240" w:lineRule="auto"/>
      </w:pPr>
      <w:r>
        <w:continuationSeparator/>
      </w:r>
    </w:p>
  </w:footnote>
  <w:footnote w:type="continuationNotice" w:id="1">
    <w:p w14:paraId="60AF3EB6" w14:textId="77777777" w:rsidR="00DD6477" w:rsidRDefault="00DD64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898"/>
    <w:multiLevelType w:val="hybridMultilevel"/>
    <w:tmpl w:val="9C8E8FF6"/>
    <w:lvl w:ilvl="0" w:tplc="1000000F">
      <w:start w:val="1"/>
      <w:numFmt w:val="decimal"/>
      <w:lvlText w:val="%1."/>
      <w:lvlJc w:val="left"/>
      <w:pPr>
        <w:ind w:left="865" w:hanging="360"/>
      </w:pPr>
    </w:lvl>
    <w:lvl w:ilvl="1" w:tplc="10000019" w:tentative="1">
      <w:start w:val="1"/>
      <w:numFmt w:val="lowerLetter"/>
      <w:lvlText w:val="%2."/>
      <w:lvlJc w:val="left"/>
      <w:pPr>
        <w:ind w:left="1585" w:hanging="360"/>
      </w:pPr>
    </w:lvl>
    <w:lvl w:ilvl="2" w:tplc="1000001B" w:tentative="1">
      <w:start w:val="1"/>
      <w:numFmt w:val="lowerRoman"/>
      <w:lvlText w:val="%3."/>
      <w:lvlJc w:val="right"/>
      <w:pPr>
        <w:ind w:left="2305" w:hanging="180"/>
      </w:pPr>
    </w:lvl>
    <w:lvl w:ilvl="3" w:tplc="1000000F" w:tentative="1">
      <w:start w:val="1"/>
      <w:numFmt w:val="decimal"/>
      <w:lvlText w:val="%4."/>
      <w:lvlJc w:val="left"/>
      <w:pPr>
        <w:ind w:left="3025" w:hanging="360"/>
      </w:pPr>
    </w:lvl>
    <w:lvl w:ilvl="4" w:tplc="10000019" w:tentative="1">
      <w:start w:val="1"/>
      <w:numFmt w:val="lowerLetter"/>
      <w:lvlText w:val="%5."/>
      <w:lvlJc w:val="left"/>
      <w:pPr>
        <w:ind w:left="3745" w:hanging="360"/>
      </w:pPr>
    </w:lvl>
    <w:lvl w:ilvl="5" w:tplc="1000001B" w:tentative="1">
      <w:start w:val="1"/>
      <w:numFmt w:val="lowerRoman"/>
      <w:lvlText w:val="%6."/>
      <w:lvlJc w:val="right"/>
      <w:pPr>
        <w:ind w:left="4465" w:hanging="180"/>
      </w:pPr>
    </w:lvl>
    <w:lvl w:ilvl="6" w:tplc="1000000F" w:tentative="1">
      <w:start w:val="1"/>
      <w:numFmt w:val="decimal"/>
      <w:lvlText w:val="%7."/>
      <w:lvlJc w:val="left"/>
      <w:pPr>
        <w:ind w:left="5185" w:hanging="360"/>
      </w:pPr>
    </w:lvl>
    <w:lvl w:ilvl="7" w:tplc="10000019" w:tentative="1">
      <w:start w:val="1"/>
      <w:numFmt w:val="lowerLetter"/>
      <w:lvlText w:val="%8."/>
      <w:lvlJc w:val="left"/>
      <w:pPr>
        <w:ind w:left="5905" w:hanging="360"/>
      </w:pPr>
    </w:lvl>
    <w:lvl w:ilvl="8" w:tplc="1000001B" w:tentative="1">
      <w:start w:val="1"/>
      <w:numFmt w:val="lowerRoman"/>
      <w:lvlText w:val="%9."/>
      <w:lvlJc w:val="right"/>
      <w:pPr>
        <w:ind w:left="6625" w:hanging="180"/>
      </w:pPr>
    </w:lvl>
  </w:abstractNum>
  <w:abstractNum w:abstractNumId="1"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4679"/>
    <w:multiLevelType w:val="hybridMultilevel"/>
    <w:tmpl w:val="A81CD50E"/>
    <w:lvl w:ilvl="0" w:tplc="10000001">
      <w:start w:val="1"/>
      <w:numFmt w:val="bullet"/>
      <w:lvlText w:val=""/>
      <w:lvlJc w:val="left"/>
      <w:pPr>
        <w:ind w:left="821" w:hanging="360"/>
      </w:pPr>
      <w:rPr>
        <w:rFonts w:ascii="Symbol" w:hAnsi="Symbol" w:hint="default"/>
      </w:rPr>
    </w:lvl>
    <w:lvl w:ilvl="1" w:tplc="10000003" w:tentative="1">
      <w:start w:val="1"/>
      <w:numFmt w:val="bullet"/>
      <w:lvlText w:val="o"/>
      <w:lvlJc w:val="left"/>
      <w:pPr>
        <w:ind w:left="1541" w:hanging="360"/>
      </w:pPr>
      <w:rPr>
        <w:rFonts w:ascii="Courier New" w:hAnsi="Courier New" w:cs="Courier New" w:hint="default"/>
      </w:rPr>
    </w:lvl>
    <w:lvl w:ilvl="2" w:tplc="10000005" w:tentative="1">
      <w:start w:val="1"/>
      <w:numFmt w:val="bullet"/>
      <w:lvlText w:val=""/>
      <w:lvlJc w:val="left"/>
      <w:pPr>
        <w:ind w:left="2261" w:hanging="360"/>
      </w:pPr>
      <w:rPr>
        <w:rFonts w:ascii="Wingdings" w:hAnsi="Wingdings" w:hint="default"/>
      </w:rPr>
    </w:lvl>
    <w:lvl w:ilvl="3" w:tplc="10000001" w:tentative="1">
      <w:start w:val="1"/>
      <w:numFmt w:val="bullet"/>
      <w:lvlText w:val=""/>
      <w:lvlJc w:val="left"/>
      <w:pPr>
        <w:ind w:left="2981" w:hanging="360"/>
      </w:pPr>
      <w:rPr>
        <w:rFonts w:ascii="Symbol" w:hAnsi="Symbol" w:hint="default"/>
      </w:rPr>
    </w:lvl>
    <w:lvl w:ilvl="4" w:tplc="10000003" w:tentative="1">
      <w:start w:val="1"/>
      <w:numFmt w:val="bullet"/>
      <w:lvlText w:val="o"/>
      <w:lvlJc w:val="left"/>
      <w:pPr>
        <w:ind w:left="3701" w:hanging="360"/>
      </w:pPr>
      <w:rPr>
        <w:rFonts w:ascii="Courier New" w:hAnsi="Courier New" w:cs="Courier New" w:hint="default"/>
      </w:rPr>
    </w:lvl>
    <w:lvl w:ilvl="5" w:tplc="10000005" w:tentative="1">
      <w:start w:val="1"/>
      <w:numFmt w:val="bullet"/>
      <w:lvlText w:val=""/>
      <w:lvlJc w:val="left"/>
      <w:pPr>
        <w:ind w:left="4421" w:hanging="360"/>
      </w:pPr>
      <w:rPr>
        <w:rFonts w:ascii="Wingdings" w:hAnsi="Wingdings" w:hint="default"/>
      </w:rPr>
    </w:lvl>
    <w:lvl w:ilvl="6" w:tplc="10000001" w:tentative="1">
      <w:start w:val="1"/>
      <w:numFmt w:val="bullet"/>
      <w:lvlText w:val=""/>
      <w:lvlJc w:val="left"/>
      <w:pPr>
        <w:ind w:left="5141" w:hanging="360"/>
      </w:pPr>
      <w:rPr>
        <w:rFonts w:ascii="Symbol" w:hAnsi="Symbol" w:hint="default"/>
      </w:rPr>
    </w:lvl>
    <w:lvl w:ilvl="7" w:tplc="10000003" w:tentative="1">
      <w:start w:val="1"/>
      <w:numFmt w:val="bullet"/>
      <w:lvlText w:val="o"/>
      <w:lvlJc w:val="left"/>
      <w:pPr>
        <w:ind w:left="5861" w:hanging="360"/>
      </w:pPr>
      <w:rPr>
        <w:rFonts w:ascii="Courier New" w:hAnsi="Courier New" w:cs="Courier New" w:hint="default"/>
      </w:rPr>
    </w:lvl>
    <w:lvl w:ilvl="8" w:tplc="10000005" w:tentative="1">
      <w:start w:val="1"/>
      <w:numFmt w:val="bullet"/>
      <w:lvlText w:val=""/>
      <w:lvlJc w:val="left"/>
      <w:pPr>
        <w:ind w:left="6581" w:hanging="360"/>
      </w:pPr>
      <w:rPr>
        <w:rFonts w:ascii="Wingdings" w:hAnsi="Wingdings" w:hint="default"/>
      </w:rPr>
    </w:lvl>
  </w:abstractNum>
  <w:abstractNum w:abstractNumId="3"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9"/>
  </w:num>
  <w:num w:numId="2" w16cid:durableId="996300797">
    <w:abstractNumId w:val="5"/>
  </w:num>
  <w:num w:numId="3" w16cid:durableId="1259020431">
    <w:abstractNumId w:val="10"/>
  </w:num>
  <w:num w:numId="4" w16cid:durableId="1620917201">
    <w:abstractNumId w:val="14"/>
  </w:num>
  <w:num w:numId="5" w16cid:durableId="873470581">
    <w:abstractNumId w:val="4"/>
  </w:num>
  <w:num w:numId="6" w16cid:durableId="1793284354">
    <w:abstractNumId w:val="12"/>
  </w:num>
  <w:num w:numId="7" w16cid:durableId="246155892">
    <w:abstractNumId w:val="6"/>
  </w:num>
  <w:num w:numId="8" w16cid:durableId="1606843836">
    <w:abstractNumId w:val="8"/>
  </w:num>
  <w:num w:numId="9" w16cid:durableId="1746680057">
    <w:abstractNumId w:val="11"/>
  </w:num>
  <w:num w:numId="10" w16cid:durableId="1913348281">
    <w:abstractNumId w:val="13"/>
  </w:num>
  <w:num w:numId="11" w16cid:durableId="1346134980">
    <w:abstractNumId w:val="7"/>
  </w:num>
  <w:num w:numId="12" w16cid:durableId="632173441">
    <w:abstractNumId w:val="3"/>
  </w:num>
  <w:num w:numId="13" w16cid:durableId="200022432">
    <w:abstractNumId w:val="1"/>
  </w:num>
  <w:num w:numId="14" w16cid:durableId="800073673">
    <w:abstractNumId w:val="2"/>
  </w:num>
  <w:num w:numId="15" w16cid:durableId="27460459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55AF"/>
    <w:rsid w:val="00016006"/>
    <w:rsid w:val="00017ADD"/>
    <w:rsid w:val="00017C06"/>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5BDE"/>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33AA"/>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052E"/>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4107"/>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18E"/>
    <w:rsid w:val="00302260"/>
    <w:rsid w:val="00302EC0"/>
    <w:rsid w:val="00304B11"/>
    <w:rsid w:val="003050F8"/>
    <w:rsid w:val="00306626"/>
    <w:rsid w:val="00315A17"/>
    <w:rsid w:val="00315C6D"/>
    <w:rsid w:val="00315E1D"/>
    <w:rsid w:val="00316E1F"/>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514B"/>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12DF"/>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A510E"/>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0F49"/>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77DFA"/>
    <w:rsid w:val="00582553"/>
    <w:rsid w:val="005853C2"/>
    <w:rsid w:val="00585775"/>
    <w:rsid w:val="00585FDA"/>
    <w:rsid w:val="00586303"/>
    <w:rsid w:val="0058642A"/>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4A6D"/>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87F83"/>
    <w:rsid w:val="00691A98"/>
    <w:rsid w:val="00694BDC"/>
    <w:rsid w:val="00695171"/>
    <w:rsid w:val="006A2FD7"/>
    <w:rsid w:val="006A32A8"/>
    <w:rsid w:val="006B13AC"/>
    <w:rsid w:val="006B4CAB"/>
    <w:rsid w:val="006C0D78"/>
    <w:rsid w:val="006C2BB9"/>
    <w:rsid w:val="006C623F"/>
    <w:rsid w:val="006C76DD"/>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2D0"/>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3321"/>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29D0"/>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0A2B"/>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17B38"/>
    <w:rsid w:val="009267A0"/>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87E17"/>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1089"/>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AD6"/>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30B"/>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39AA"/>
    <w:rsid w:val="00C84B54"/>
    <w:rsid w:val="00C84EF6"/>
    <w:rsid w:val="00C92463"/>
    <w:rsid w:val="00C92AAD"/>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462B1"/>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C0"/>
    <w:rsid w:val="00DA76DA"/>
    <w:rsid w:val="00DB127B"/>
    <w:rsid w:val="00DB2C2B"/>
    <w:rsid w:val="00DB62F7"/>
    <w:rsid w:val="00DB75A9"/>
    <w:rsid w:val="00DC26EB"/>
    <w:rsid w:val="00DC2CD9"/>
    <w:rsid w:val="00DC56E9"/>
    <w:rsid w:val="00DC59AC"/>
    <w:rsid w:val="00DD138E"/>
    <w:rsid w:val="00DD2CF4"/>
    <w:rsid w:val="00DD6477"/>
    <w:rsid w:val="00DD6895"/>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0EB8"/>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D78A0"/>
    <w:rsid w:val="00EE082B"/>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character" w:customStyle="1" w:styleId="hgkelc">
    <w:name w:val="hgkelc"/>
    <w:basedOn w:val="DefaultParagraphFont"/>
    <w:rsid w:val="00C9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nda@evalnet.co.z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Zenda Ofir</cp:lastModifiedBy>
  <cp:revision>5</cp:revision>
  <cp:lastPrinted>2024-06-28T18:36:00Z</cp:lastPrinted>
  <dcterms:created xsi:type="dcterms:W3CDTF">2024-06-28T17:43:00Z</dcterms:created>
  <dcterms:modified xsi:type="dcterms:W3CDTF">2024-06-28T18:37:00Z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y fmtid="{D5CDD505-2E9C-101B-9397-08002B2CF9AE}" pid="5" name="_AdHocReviewCycleID">
    <vt:i4>-508268608</vt:i4>
  </property>
  <property fmtid="{D5CDD505-2E9C-101B-9397-08002B2CF9AE}" pid="6" name="_NewReviewCycle">
    <vt:lpwstr/>
  </property>
  <property fmtid="{D5CDD505-2E9C-101B-9397-08002B2CF9AE}" pid="7" name="_EmailSubject">
    <vt:lpwstr>Abstract for NEC</vt:lpwstr>
  </property>
  <property fmtid="{D5CDD505-2E9C-101B-9397-08002B2CF9AE}" pid="8" name="_AuthorEmail">
    <vt:lpwstr>zenda@evalnet.co.za</vt:lpwstr>
  </property>
  <property fmtid="{D5CDD505-2E9C-101B-9397-08002B2CF9AE}" pid="9" name="_AuthorEmailDisplayName">
    <vt:lpwstr>zenda@evalnet.co.za</vt:lpwstr>
  </property>
</Properties>
</file>