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F9B4" w14:textId="61C65D7F" w:rsidR="00E157EC" w:rsidRPr="002C6E42" w:rsidRDefault="002C6E42" w:rsidP="002C6E42">
      <w:pPr>
        <w:rPr>
          <w:rFonts w:eastAsiaTheme="majorEastAsia" w:cstheme="minorHAnsi"/>
          <w:color w:val="2F5496" w:themeColor="accent1" w:themeShade="BF"/>
        </w:rPr>
      </w:pPr>
      <w:bookmarkStart w:id="0" w:name="_Hlk97649666"/>
      <w:r>
        <w:rPr>
          <w:rFonts w:ascii="Calibri" w:hAnsi="Calibri" w:cs="Calibri"/>
          <w:b/>
          <w:bCs/>
          <w:noProof/>
          <w:sz w:val="20"/>
          <w:szCs w:val="20"/>
        </w:rPr>
        <mc:AlternateContent>
          <mc:Choice Requires="wps">
            <w:drawing>
              <wp:anchor distT="0" distB="0" distL="114300" distR="114300" simplePos="0" relativeHeight="251664384" behindDoc="1" locked="0" layoutInCell="1" allowOverlap="1" wp14:anchorId="11FDB1B9" wp14:editId="4367F80E">
                <wp:simplePos x="0" y="0"/>
                <wp:positionH relativeFrom="margin">
                  <wp:align>right</wp:align>
                </wp:positionH>
                <wp:positionV relativeFrom="topMargin">
                  <wp:align>top</wp:align>
                </wp:positionV>
                <wp:extent cx="635635" cy="438785"/>
                <wp:effectExtent l="0" t="0" r="0" b="0"/>
                <wp:wrapTopAndBottom/>
                <wp:docPr id="1" name="bjCLSCSTB-HRM-VTT-RA-BN-DH"/>
                <wp:cNvGraphicFramePr/>
                <a:graphic xmlns:a="http://schemas.openxmlformats.org/drawingml/2006/main">
                  <a:graphicData uri="http://schemas.microsoft.com/office/word/2010/wordprocessingShape">
                    <wps:wsp>
                      <wps:cNvSpPr txBox="1"/>
                      <wps:spPr>
                        <a:xfrm>
                          <a:off x="0" y="0"/>
                          <a:ext cx="635635" cy="43878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80326EB" w14:textId="77777777" w:rsidR="00B02099" w:rsidRDefault="002C6E42" w:rsidP="00B02099">
                            <w:pPr>
                              <w:spacing w:after="0" w:line="240" w:lineRule="auto"/>
                              <w:jc w:val="right"/>
                              <w:rPr>
                                <w:rFonts w:ascii="Times New Roman" w:hAnsi="Times New Roman" w:cs="Times New Roman"/>
                                <w:color w:val="000000"/>
                                <w:sz w:val="24"/>
                                <w:szCs w:val="24"/>
                              </w:rPr>
                            </w:pPr>
                            <w:r>
                              <w:fldChar w:fldCharType="begin" w:fldLock="1"/>
                            </w:r>
                            <w:r>
                              <w:instrText xml:space="preserve"> DOCPROPERTY bjCLSCSTB-HRM-VTT-RA-BN-DH \* MERGEFORMAT </w:instrText>
                            </w:r>
                            <w:r>
                              <w:fldChar w:fldCharType="separate"/>
                            </w:r>
                          </w:p>
                          <w:p w14:paraId="2A9714BC" w14:textId="7BF8BDCA" w:rsidR="002C6E42" w:rsidRDefault="00B02099" w:rsidP="00B02099">
                            <w:pPr>
                              <w:spacing w:after="0" w:line="240" w:lineRule="auto"/>
                              <w:jc w:val="right"/>
                            </w:pPr>
                            <w:r w:rsidRPr="00B02099">
                              <w:rPr>
                                <w:rFonts w:ascii="Times New Roman" w:hAnsi="Times New Roman" w:cs="Times New Roman"/>
                                <w:color w:val="0000D7"/>
                                <w:sz w:val="24"/>
                                <w:szCs w:val="24"/>
                              </w:rPr>
                              <w:t>Internal</w:t>
                            </w:r>
                            <w:r>
                              <w:rPr>
                                <w:rFonts w:ascii="Times New Roman" w:hAnsi="Times New Roman" w:cs="Times New Roman"/>
                                <w:color w:val="000000"/>
                                <w:sz w:val="24"/>
                                <w:szCs w:val="24"/>
                              </w:rPr>
                              <w:t xml:space="preserve">     </w:t>
                            </w:r>
                            <w:r w:rsidR="002C6E42">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FDB1B9" id="_x0000_t202" coordsize="21600,21600" o:spt="202" path="m,l,21600r21600,l21600,xe">
                <v:stroke joinstyle="miter"/>
                <v:path gradientshapeok="t" o:connecttype="rect"/>
              </v:shapetype>
              <v:shape id="bjCLSCSTB-HRM-VTT-RA-BN-DH" o:spid="_x0000_s1026" type="#_x0000_t202" style="position:absolute;margin-left:-1.15pt;margin-top:0;width:50.05pt;height:34.55pt;z-index:-251652096;visibility:visible;mso-wrap-style:none;mso-wrap-distance-left:9pt;mso-wrap-distance-top:0;mso-wrap-distance-right:9pt;mso-wrap-distance-bottom:0;mso-position-horizontal:right;mso-position-horizontal-relative:margin;mso-position-vertical:top;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" filled="f" stroked="f" strokeweight=".5pt">
                <v:textbox style="mso-fit-shape-to-text:t">
                  <w:txbxContent>
                    <w:p w14:paraId="080326EB" w14:textId="77777777" w:rsidR="00B02099" w:rsidRDefault="002C6E42" w:rsidP="00B02099">
                      <w:pPr>
                        <w:spacing w:after="0" w:line="240" w:lineRule="auto"/>
                        <w:jc w:val="right"/>
                        <w:rPr>
                          <w:rFonts w:ascii="Times New Roman" w:hAnsi="Times New Roman" w:cs="Times New Roman"/>
                          <w:color w:val="000000"/>
                          <w:sz w:val="24"/>
                          <w:szCs w:val="24"/>
                        </w:rPr>
                      </w:pPr>
                      <w:r>
                        <w:fldChar w:fldCharType="begin" w:fldLock="1"/>
                      </w:r>
                      <w:r>
                        <w:instrText xml:space="preserve"> DOCPROPERTY bjCLSCSTB-HRM-VTT-RA-BN-DH \* MERGEFORMAT </w:instrText>
                      </w:r>
                      <w:r>
                        <w:fldChar w:fldCharType="separate"/>
                      </w:r>
                    </w:p>
                    <w:p w14:paraId="2A9714BC" w14:textId="7BF8BDCA" w:rsidR="002C6E42" w:rsidRDefault="00B02099" w:rsidP="00B02099">
                      <w:pPr>
                        <w:spacing w:after="0" w:line="240" w:lineRule="auto"/>
                        <w:jc w:val="right"/>
                      </w:pPr>
                      <w:r w:rsidRPr="00B02099">
                        <w:rPr>
                          <w:rFonts w:ascii="Times New Roman" w:hAnsi="Times New Roman" w:cs="Times New Roman"/>
                          <w:color w:val="0000D7"/>
                          <w:sz w:val="24"/>
                          <w:szCs w:val="24"/>
                        </w:rPr>
                        <w:t>Internal</w:t>
                      </w:r>
                      <w:r>
                        <w:rPr>
                          <w:rFonts w:ascii="Times New Roman" w:hAnsi="Times New Roman" w:cs="Times New Roman"/>
                          <w:color w:val="000000"/>
                          <w:sz w:val="24"/>
                          <w:szCs w:val="24"/>
                        </w:rPr>
                        <w:t xml:space="preserve">     </w:t>
                      </w:r>
                      <w:r w:rsidR="002C6E42">
                        <w:fldChar w:fldCharType="end"/>
                      </w:r>
                    </w:p>
                  </w:txbxContent>
                </v:textbox>
                <w10:wrap type="topAndBottom" anchorx="margin" anchory="margin"/>
              </v:shape>
            </w:pict>
          </mc:Fallback>
        </mc:AlternateContent>
      </w:r>
      <w:r w:rsidR="00364998">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90CDAE" id="Text Box 3" o:spid="_x0000_s1027" type="#_x0000_t202"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&#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p>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5F594E32" w:rsidR="009368D6" w:rsidRPr="009D0066" w:rsidRDefault="002C6E42" w:rsidP="002177CD">
            <w:pPr>
              <w:spacing w:after="120"/>
              <w:contextualSpacing/>
              <w:jc w:val="both"/>
              <w:rPr>
                <w:rFonts w:cstheme="minorHAnsi"/>
              </w:rPr>
            </w:pPr>
            <w:r>
              <w:rPr>
                <w:rFonts w:cstheme="minorHAnsi"/>
              </w:rPr>
              <w:t>Nosser, Hesham, Samir</w:t>
            </w:r>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0ABAE706" w:rsidR="009368D6" w:rsidRPr="009D0066" w:rsidRDefault="002C6E42" w:rsidP="002177CD">
            <w:pPr>
              <w:spacing w:after="120"/>
              <w:contextualSpacing/>
              <w:jc w:val="both"/>
              <w:rPr>
                <w:rFonts w:cstheme="minorHAnsi"/>
              </w:rPr>
            </w:pPr>
            <w:r>
              <w:rPr>
                <w:rFonts w:cstheme="minorHAnsi"/>
              </w:rPr>
              <w:t>Egyptian</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5CDD9A3C" w:rsidR="008350D6" w:rsidRPr="009D0066" w:rsidRDefault="002C6E42" w:rsidP="002177CD">
            <w:pPr>
              <w:spacing w:after="120"/>
              <w:contextualSpacing/>
              <w:jc w:val="both"/>
              <w:rPr>
                <w:rFonts w:cstheme="minorHAnsi"/>
              </w:rPr>
            </w:pPr>
            <w:r>
              <w:rPr>
                <w:rFonts w:cstheme="minorHAnsi"/>
              </w:rPr>
              <w:t>Male</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0D2200E4" w:rsidR="009368D6" w:rsidRPr="009D0066" w:rsidRDefault="002C6E42" w:rsidP="002177CD">
            <w:pPr>
              <w:spacing w:after="120"/>
              <w:contextualSpacing/>
              <w:jc w:val="both"/>
              <w:rPr>
                <w:rFonts w:cstheme="minorHAnsi"/>
              </w:rPr>
            </w:pPr>
            <w:r>
              <w:rPr>
                <w:rFonts w:cstheme="minorHAnsi"/>
              </w:rPr>
              <w:t>Egypt</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27E37347" w14:textId="1A64E2D6" w:rsidR="009368D6" w:rsidRPr="009D0066" w:rsidRDefault="002C6E42" w:rsidP="002177CD">
            <w:pPr>
              <w:spacing w:after="120"/>
              <w:contextualSpacing/>
              <w:jc w:val="both"/>
              <w:rPr>
                <w:rFonts w:cstheme="minorHAnsi"/>
              </w:rPr>
            </w:pPr>
            <w:r>
              <w:rPr>
                <w:rFonts w:cstheme="minorHAnsi"/>
              </w:rPr>
              <w:t>CIB Foundation - Egypt</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0DB8F72E" w14:textId="77777777" w:rsidR="009368D6" w:rsidRDefault="002C6E42" w:rsidP="002177CD">
            <w:pPr>
              <w:spacing w:after="120"/>
              <w:contextualSpacing/>
              <w:jc w:val="both"/>
              <w:rPr>
                <w:rFonts w:cstheme="minorHAnsi"/>
              </w:rPr>
            </w:pPr>
            <w:r>
              <w:rPr>
                <w:rFonts w:cstheme="minorHAnsi"/>
              </w:rPr>
              <w:t>+20 1003862737</w:t>
            </w:r>
          </w:p>
          <w:p w14:paraId="2BBB6AC2" w14:textId="0A8AC086" w:rsidR="002C6E42" w:rsidRPr="009D0066" w:rsidRDefault="002C6E42" w:rsidP="002177CD">
            <w:pPr>
              <w:spacing w:after="120"/>
              <w:contextualSpacing/>
              <w:jc w:val="both"/>
              <w:rPr>
                <w:rFonts w:cstheme="minorHAnsi"/>
              </w:rPr>
            </w:pPr>
            <w:r>
              <w:rPr>
                <w:rFonts w:cstheme="minorHAnsi"/>
              </w:rPr>
              <w:t>Hesham888.ymail@gmail.com</w:t>
            </w: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441BB1B6" w14:textId="7F05F0B7" w:rsidR="009368D6" w:rsidRPr="009D0066" w:rsidRDefault="00B02099" w:rsidP="002177CD">
            <w:pPr>
              <w:spacing w:after="120"/>
              <w:contextualSpacing/>
              <w:jc w:val="both"/>
              <w:rPr>
                <w:rFonts w:cstheme="minorHAnsi"/>
              </w:rPr>
            </w:pPr>
            <w:r>
              <w:t>Leveraging Social Impact Assessment and Return on Investment in Donor Non-profit Organizations: A Case Study from CIB Foundation Egypt</w:t>
            </w: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289A4257" w14:textId="50CA41C7"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214D00FB" w14:textId="77777777" w:rsidR="003E6831" w:rsidRDefault="003E6831" w:rsidP="00993845">
            <w:pPr>
              <w:spacing w:after="120"/>
              <w:contextualSpacing/>
              <w:rPr>
                <w:rFonts w:cstheme="minorHAnsi"/>
              </w:rPr>
            </w:pPr>
          </w:p>
          <w:p w14:paraId="65A35848" w14:textId="40CB66EF" w:rsidR="009368D6" w:rsidRDefault="009368D6" w:rsidP="00993845">
            <w:pPr>
              <w:spacing w:after="120"/>
              <w:contextualSpacing/>
              <w:rPr>
                <w:rFonts w:cstheme="minorHAnsi"/>
              </w:rPr>
            </w:pPr>
            <w:r w:rsidRPr="002C6E42">
              <w:rPr>
                <w:rFonts w:cstheme="minorHAnsi"/>
                <w:highlight w:val="green"/>
              </w:rPr>
              <w:t>□</w:t>
            </w:r>
            <w:r>
              <w:rPr>
                <w:rFonts w:cstheme="minorHAnsi"/>
              </w:rPr>
              <w:t xml:space="preserve"> </w:t>
            </w:r>
            <w:r w:rsidR="00BC1E41">
              <w:rPr>
                <w:rFonts w:cstheme="minorHAnsi"/>
              </w:rPr>
              <w:t xml:space="preserve">Stream B. </w:t>
            </w:r>
            <w:r w:rsidR="003E6831">
              <w:rPr>
                <w:rFonts w:cstheme="minorHAnsi"/>
              </w:rPr>
              <w:t>Inclusive National Evaluation Systems</w:t>
            </w:r>
          </w:p>
          <w:p w14:paraId="7426A507" w14:textId="77777777" w:rsidR="003E6831" w:rsidRDefault="003E6831" w:rsidP="00993845">
            <w:pPr>
              <w:spacing w:after="120"/>
              <w:contextualSpacing/>
              <w:rPr>
                <w:rFonts w:cstheme="minorHAnsi"/>
              </w:rPr>
            </w:pPr>
          </w:p>
          <w:p w14:paraId="467EA895" w14:textId="0104737A" w:rsidR="009368D6" w:rsidRPr="009D0066" w:rsidRDefault="009368D6" w:rsidP="00993845">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51C721A5" w14:textId="2CE59BEF" w:rsidR="009368D6" w:rsidRPr="009D0066" w:rsidRDefault="002C6E42" w:rsidP="002177CD">
            <w:pPr>
              <w:spacing w:after="120"/>
              <w:contextualSpacing/>
              <w:jc w:val="both"/>
              <w:rPr>
                <w:rFonts w:cstheme="minorHAnsi"/>
              </w:rPr>
            </w:pPr>
            <w:r>
              <w:rPr>
                <w:rFonts w:cstheme="minorHAnsi"/>
              </w:rPr>
              <w:t xml:space="preserve">Sherief El-Saeed </w:t>
            </w: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141D314B" w:rsidR="009368D6" w:rsidRPr="009D0066" w:rsidRDefault="009368D6" w:rsidP="00797E83">
            <w:pPr>
              <w:pStyle w:val="CommentText"/>
              <w:ind w:left="0"/>
              <w:rPr>
                <w:rFonts w:cstheme="minorHAnsi"/>
                <w:sz w:val="22"/>
                <w:szCs w:val="22"/>
              </w:rPr>
            </w:pPr>
            <w:r w:rsidRPr="009D0066">
              <w:rPr>
                <w:rFonts w:cstheme="minorHAnsi"/>
                <w:sz w:val="22"/>
                <w:szCs w:val="22"/>
              </w:rPr>
              <w:t>□ Formal presentation (max</w:t>
            </w:r>
            <w:r>
              <w:rPr>
                <w:rFonts w:cstheme="minorHAnsi"/>
                <w:sz w:val="22"/>
                <w:szCs w:val="22"/>
              </w:rPr>
              <w:t>imum</w:t>
            </w:r>
            <w:r w:rsidRPr="009D0066">
              <w:rPr>
                <w:rFonts w:cstheme="minorHAnsi"/>
                <w:sz w:val="22"/>
                <w:szCs w:val="22"/>
              </w:rPr>
              <w:t xml:space="preserve"> 1</w:t>
            </w:r>
            <w:r w:rsidR="00175EFE">
              <w:rPr>
                <w:rFonts w:cstheme="minorHAnsi"/>
                <w:sz w:val="22"/>
                <w:szCs w:val="22"/>
              </w:rPr>
              <w:t>0</w:t>
            </w:r>
            <w:r w:rsidRPr="009D0066">
              <w:rPr>
                <w:rFonts w:cstheme="minorHAnsi"/>
                <w:sz w:val="22"/>
                <w:szCs w:val="22"/>
              </w:rPr>
              <w:t xml:space="preserve"> minutes)</w:t>
            </w:r>
          </w:p>
          <w:p w14:paraId="4D402568" w14:textId="77777777" w:rsidR="009368D6" w:rsidRPr="009D0066" w:rsidRDefault="009368D6" w:rsidP="00797E83">
            <w:pPr>
              <w:pStyle w:val="CommentText"/>
              <w:ind w:left="179" w:hanging="179"/>
              <w:rPr>
                <w:rFonts w:cstheme="minorHAnsi"/>
                <w:sz w:val="22"/>
                <w:szCs w:val="22"/>
              </w:rPr>
            </w:pPr>
            <w:r w:rsidRPr="002C6E42">
              <w:rPr>
                <w:rFonts w:cstheme="minorHAnsi"/>
                <w:sz w:val="22"/>
                <w:szCs w:val="22"/>
                <w:highlight w:val="green"/>
              </w:rPr>
              <w:t>□</w:t>
            </w:r>
            <w:r w:rsidRPr="009D0066">
              <w:rPr>
                <w:rFonts w:cstheme="minorHAnsi"/>
                <w:sz w:val="22"/>
                <w:szCs w:val="22"/>
              </w:rPr>
              <w:t xml:space="preserve"> 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77777777" w:rsidR="009368D6" w:rsidRDefault="009368D6" w:rsidP="002177CD">
            <w:pPr>
              <w:pStyle w:val="CommentText"/>
              <w:rPr>
                <w:rFonts w:cstheme="minorHAnsi"/>
                <w:sz w:val="22"/>
                <w:szCs w:val="22"/>
              </w:rPr>
            </w:pPr>
            <w:r w:rsidRPr="002C6E42">
              <w:rPr>
                <w:rFonts w:cstheme="minorHAnsi"/>
                <w:sz w:val="22"/>
                <w:szCs w:val="22"/>
                <w:highlight w:val="green"/>
              </w:rPr>
              <w:t>□</w:t>
            </w:r>
            <w:r>
              <w:rPr>
                <w:rFonts w:cstheme="minorHAnsi"/>
                <w:sz w:val="22"/>
                <w:szCs w:val="22"/>
              </w:rPr>
              <w:t xml:space="preserve"> Yes</w:t>
            </w:r>
          </w:p>
          <w:p w14:paraId="03E81189" w14:textId="77777777"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2EB14468" w:rsidR="009368D6" w:rsidRPr="009D0066" w:rsidRDefault="009368D6" w:rsidP="002177CD">
            <w:pPr>
              <w:pStyle w:val="CommentText"/>
              <w:rPr>
                <w:rFonts w:cstheme="minorHAnsi"/>
                <w:sz w:val="22"/>
                <w:szCs w:val="22"/>
              </w:rPr>
            </w:pPr>
            <w:r w:rsidRPr="002C6E42">
              <w:rPr>
                <w:rFonts w:cstheme="minorHAnsi"/>
                <w:sz w:val="22"/>
                <w:szCs w:val="22"/>
                <w:highlight w:val="green"/>
              </w:rPr>
              <w:t>□</w:t>
            </w:r>
            <w:r>
              <w:rPr>
                <w:rFonts w:cstheme="minorHAnsi"/>
                <w:sz w:val="22"/>
                <w:szCs w:val="22"/>
              </w:rPr>
              <w:t xml:space="preserve"> English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78103A8C"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71943D01" w14:textId="77777777" w:rsidR="00C4707F" w:rsidRDefault="00C4707F" w:rsidP="00C4707F">
            <w:pPr>
              <w:rPr>
                <w:rFonts w:cstheme="minorHAnsi"/>
              </w:rPr>
            </w:pPr>
          </w:p>
          <w:p w14:paraId="40C14127" w14:textId="7E72E7B2" w:rsidR="00B02099" w:rsidRDefault="00B02099" w:rsidP="00B02099">
            <w:pPr>
              <w:pStyle w:val="NormalWeb"/>
            </w:pPr>
            <w:r>
              <w:t xml:space="preserve">      </w:t>
            </w:r>
            <w:r>
              <w:t xml:space="preserve">In the realm of donor non-profit organizations focused on health initiatives for children, the integration of robust monitoring and evaluation practices has become increasingly pivotal. This presentation explores the transformative role of Social Impact Assessment (SIA) coupled with </w:t>
            </w:r>
            <w:r>
              <w:lastRenderedPageBreak/>
              <w:t>Return on Investment (ROI) analysis in amplifying the effectiveness and strategic relevance of projects funded by the CIB Foundation Egypt.</w:t>
            </w:r>
          </w:p>
          <w:p w14:paraId="50ED5274" w14:textId="55662CA5" w:rsidR="00B02099" w:rsidRDefault="00B02099" w:rsidP="00B02099">
            <w:pPr>
              <w:pStyle w:val="NormalWeb"/>
            </w:pPr>
            <w:r>
              <w:t xml:space="preserve">       </w:t>
            </w:r>
            <w:r>
              <w:t>As a Monitoring and Evaluation Officer at CIB Foundation Egypt, I will share insights into how SIA and ROI metrics have not only quantified the social impact achieved by our projects but also resonated profoundly with our board of trustees, predominantly composed of banking professionals. Their appreciation stemmed from the clear correlation these metrics draw between financial contributions and tangible societal benefits, thus enhancing their understanding of the foundation's role in community development.</w:t>
            </w:r>
          </w:p>
          <w:p w14:paraId="3B810B73" w14:textId="43551379" w:rsidR="00B02099" w:rsidRDefault="00B02099" w:rsidP="00B02099">
            <w:pPr>
              <w:pStyle w:val="NormalWeb"/>
            </w:pPr>
            <w:r>
              <w:t xml:space="preserve">      </w:t>
            </w:r>
            <w:r>
              <w:t>Moreover, I will discuss how presenting SIA and ROI findings has empowered our board in making informed strategic and managerial decisions. This approach not only facilitates transparent accountability but also positions the foundation uniquely within the Egyptian banking sector, underscoring its commitment to impactful philanthropy and responsible corporate citizenship.</w:t>
            </w:r>
          </w:p>
          <w:p w14:paraId="34A02FD9" w14:textId="4817D57E" w:rsidR="00C4707F" w:rsidRPr="00B02099" w:rsidRDefault="00B02099" w:rsidP="00B02099">
            <w:pPr>
              <w:pStyle w:val="NormalWeb"/>
            </w:pPr>
            <w:r>
              <w:t xml:space="preserve">      </w:t>
            </w:r>
            <w:r>
              <w:t>This presentation aims to inspire fellow practitioners in the field of monitoring and evaluation, particularly those navigating the intersection of philanthropy and finance, to adopt similar methodologies. By elucidating the practical application and benefits of SIA and ROI in donor organizations, this study advocates for a more nuanced understanding of social investment that transcends traditional financial metrics.</w:t>
            </w:r>
          </w:p>
          <w:p w14:paraId="175F167C" w14:textId="77777777" w:rsidR="00C4707F" w:rsidRDefault="00C4707F" w:rsidP="00C4707F">
            <w:pPr>
              <w:ind w:left="0"/>
              <w:rPr>
                <w:rFonts w:cstheme="minorHAnsi"/>
              </w:rPr>
            </w:pPr>
          </w:p>
        </w:tc>
      </w:tr>
    </w:tbl>
    <w:p w14:paraId="0E5A0CE2" w14:textId="1B3C74BF" w:rsidR="002C6E42" w:rsidRPr="002C6E42" w:rsidRDefault="002C6E42" w:rsidP="002C6E42">
      <w:pPr>
        <w:tabs>
          <w:tab w:val="left" w:pos="6792"/>
        </w:tabs>
        <w:rPr>
          <w:rFonts w:cstheme="minorHAnsi"/>
        </w:rPr>
      </w:pPr>
    </w:p>
    <w:sectPr w:rsidR="002C6E42" w:rsidRPr="002C6E42" w:rsidSect="00E7518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5A3C" w14:textId="77777777" w:rsidR="00D12304" w:rsidRDefault="00D12304" w:rsidP="00D2741A">
      <w:pPr>
        <w:spacing w:after="0" w:line="240" w:lineRule="auto"/>
      </w:pPr>
      <w:r>
        <w:separator/>
      </w:r>
    </w:p>
  </w:endnote>
  <w:endnote w:type="continuationSeparator" w:id="0">
    <w:p w14:paraId="750EA785" w14:textId="77777777" w:rsidR="00D12304" w:rsidRDefault="00D12304" w:rsidP="00D2741A">
      <w:pPr>
        <w:spacing w:after="0" w:line="240" w:lineRule="auto"/>
      </w:pPr>
      <w:r>
        <w:continuationSeparator/>
      </w:r>
    </w:p>
  </w:endnote>
  <w:endnote w:type="continuationNotice" w:id="1">
    <w:p w14:paraId="2D3169E3" w14:textId="77777777" w:rsidR="00D12304" w:rsidRDefault="00D12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2386" w14:textId="77777777" w:rsidR="00B02099" w:rsidRDefault="00B02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3430" w14:textId="77777777" w:rsidR="00B02099" w:rsidRDefault="00B02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B9C9" w14:textId="77777777" w:rsidR="00D12304" w:rsidRDefault="00D12304" w:rsidP="00D2741A">
      <w:pPr>
        <w:spacing w:after="0" w:line="240" w:lineRule="auto"/>
      </w:pPr>
      <w:r>
        <w:separator/>
      </w:r>
    </w:p>
  </w:footnote>
  <w:footnote w:type="continuationSeparator" w:id="0">
    <w:p w14:paraId="78535D9F" w14:textId="77777777" w:rsidR="00D12304" w:rsidRDefault="00D12304" w:rsidP="00D2741A">
      <w:pPr>
        <w:spacing w:after="0" w:line="240" w:lineRule="auto"/>
      </w:pPr>
      <w:r>
        <w:continuationSeparator/>
      </w:r>
    </w:p>
  </w:footnote>
  <w:footnote w:type="continuationNotice" w:id="1">
    <w:p w14:paraId="53C88685" w14:textId="77777777" w:rsidR="00D12304" w:rsidRDefault="00D12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CF95" w14:textId="77777777" w:rsidR="00B02099" w:rsidRDefault="00B02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15A7" w14:textId="77777777" w:rsidR="00B02099" w:rsidRDefault="00B02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369F" w14:textId="77777777" w:rsidR="00B02099" w:rsidRDefault="00B02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12"/>
  </w:num>
  <w:num w:numId="5">
    <w:abstractNumId w:val="2"/>
  </w:num>
  <w:num w:numId="6">
    <w:abstractNumId w:val="10"/>
  </w:num>
  <w:num w:numId="7">
    <w:abstractNumId w:val="4"/>
  </w:num>
  <w:num w:numId="8">
    <w:abstractNumId w:val="6"/>
  </w:num>
  <w:num w:numId="9">
    <w:abstractNumId w:val="9"/>
  </w:num>
  <w:num w:numId="10">
    <w:abstractNumId w:val="11"/>
  </w:num>
  <w:num w:numId="11">
    <w:abstractNumId w:val="5"/>
  </w:num>
  <w:num w:numId="12">
    <w:abstractNumId w:val="1"/>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6E42"/>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1765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2099"/>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230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 w:type="paragraph" w:styleId="NormalWeb">
    <w:name w:val="Normal (Web)"/>
    <w:basedOn w:val="Normal"/>
    <w:uiPriority w:val="99"/>
    <w:unhideWhenUsed/>
    <w:rsid w:val="00B020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553879826">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iYTY3ODhiMC1jZTFlLTRjNTQtOTMwYy1mZDQ1MGNhZTcyZjkiIG9yaWdpbj0idXNlclNlbGVjdGVkIj48ZWxlbWVudCB1aWQ9IjdmODZjMzc3LTNmMDEtNDg1ZS05OTk4LTgyNzdjYWI4NzQ0MiIgdmFsdWU9IiIgeG1sbnM9Imh0dHA6Ly93d3cuYm9sZG9uamFtZXMuY29tLzIwMDgvMDEvc2llL2ludGVybmFsL2xhYmVsIiAvPjwvc2lzbD48VXNlck5hbWU+SE9ET01BSU5caGVzYW1pcjwvVXNlck5hbWU+PERhdGVUaW1lPjcvMjEvMjAyNCAxMDo0Njo1NyBBTTwvRGF0ZVRpbWU+PExhYmVsU3RyaW5nPkludGVybmFsIDwvTGFiZWxTdHJpbmc+PC9pdGVtPjwvbGFiZWxIaXN0b3J5Pg==</Value>
</WrappedLabelHistory>
</file>

<file path=customXml/item4.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isl xmlns:xsd="http://www.w3.org/2001/XMLSchema" xmlns:xsi="http://www.w3.org/2001/XMLSchema-instance" xmlns="http://www.boldonjames.com/2008/01/sie/internal/label" sislVersion="0" policy="ba6788b0-ce1e-4c54-930c-fd450cae72f9" origin="userSelected">
  <element uid="7f86c377-3f01-485e-9998-8277cab87442" value=""/>
</sisl>
</file>

<file path=customXml/itemProps1.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2.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3.xml><?xml version="1.0" encoding="utf-8"?>
<ds:datastoreItem xmlns:ds="http://schemas.openxmlformats.org/officeDocument/2006/customXml" ds:itemID="{74F685B0-E501-4A53-8A83-0591BD798E43}">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6.xml><?xml version="1.0" encoding="utf-8"?>
<ds:datastoreItem xmlns:ds="http://schemas.openxmlformats.org/officeDocument/2006/customXml" ds:itemID="{662D25C0-5CF3-4F8F-8400-12787E05FB1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Hesham Samir</cp:lastModifiedBy>
  <cp:revision>34</cp:revision>
  <cp:lastPrinted>2022-03-10T21:45:00Z</cp:lastPrinted>
  <dcterms:created xsi:type="dcterms:W3CDTF">2024-05-29T01:24:00Z</dcterms:created>
  <dcterms:modified xsi:type="dcterms:W3CDTF">2024-07-21T11:10:00Z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y fmtid="{D5CDD505-2E9C-101B-9397-08002B2CF9AE}" pid="5" name="docIndexRef">
    <vt:lpwstr>d4764373-79ed-44ac-b3f5-04606bbea754</vt:lpwstr>
  </property>
  <property fmtid="{D5CDD505-2E9C-101B-9397-08002B2CF9AE}" pid="6" name="bjSaver">
    <vt:lpwstr>v0G9McNkKt6ZXnvFJT+2KFF6WekwmsKo</vt:lpwstr>
  </property>
  <property fmtid="{D5CDD505-2E9C-101B-9397-08002B2CF9AE}" pid="7" name="bjDocumentLabelXML">
    <vt:lpwstr>&lt;?xml version="1.0" encoding="us-ascii"?&gt;&lt;sisl xmlns:xsd="http://www.w3.org/2001/XMLSchema" xmlns:xsi="http://www.w3.org/2001/XMLSchema-instance" sislVersion="0" policy="ba6788b0-ce1e-4c54-930c-fd450cae72f9" origin="userSelected" xmlns="http://www.boldonj</vt:lpwstr>
  </property>
  <property fmtid="{D5CDD505-2E9C-101B-9397-08002B2CF9AE}" pid="8" name="bjDocumentLabelXML-0">
    <vt:lpwstr>ames.com/2008/01/sie/internal/label"&gt;&lt;element uid="7f86c377-3f01-485e-9998-8277cab87442" value="" /&gt;&lt;/sisl&gt;</vt:lpwstr>
  </property>
  <property fmtid="{D5CDD505-2E9C-101B-9397-08002B2CF9AE}" pid="9" name="bjDocumentSecurityLabel">
    <vt:lpwstr>Internal </vt:lpwstr>
  </property>
  <property fmtid="{D5CDD505-2E9C-101B-9397-08002B2CF9AE}" pid="10" name="bjClsUserRVM">
    <vt:lpwstr>[]</vt:lpwstr>
  </property>
  <property fmtid="{D5CDD505-2E9C-101B-9397-08002B2CF9AE}" pid="11" name="bjCLSCSTB-HRM-VTT-RA-BN-DH">
    <vt:lpwstr>_x000d_
Internal     </vt:lpwstr>
  </property>
  <property fmtid="{D5CDD505-2E9C-101B-9397-08002B2CF9AE}" pid="12" name="bjLabelHistoryID">
    <vt:lpwstr>{74F685B0-E501-4A53-8A83-0591BD798E43}</vt:lpwstr>
  </property>
</Properties>
</file>