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F9B4" w14:textId="63BCED96" w:rsidR="00E157EC" w:rsidRPr="00EA3C25" w:rsidRDefault="00364998" w:rsidP="00EA3C25">
      <w:pPr>
        <w:rPr>
          <w:rFonts w:eastAsiaTheme="majorEastAsia" w:cstheme="minorHAnsi"/>
          <w:color w:val="2F5496" w:themeColor="accent1" w:themeShade="BF"/>
        </w:rPr>
      </w:pPr>
      <w:bookmarkStart w:id="0" w:name="_Hlk97649666"/>
      <w:r>
        <w:rPr>
          <w:rFonts w:ascii="Calibri" w:hAnsi="Calibri" w:cs="Calibri"/>
          <w:b/>
          <w:bCs/>
          <w:noProof/>
          <w:sz w:val="20"/>
          <w:szCs w:val="20"/>
        </w:rPr>
        <mc:AlternateContent>
          <mc:Choice Requires="wps">
            <w:drawing>
              <wp:anchor distT="0" distB="0" distL="114300" distR="114300" simplePos="0" relativeHeight="25165824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A3C25">
        <w:rPr>
          <w:rFonts w:eastAsiaTheme="majorEastAsia" w:cstheme="minorHAnsi"/>
          <w:color w:val="2F5496" w:themeColor="accent1" w:themeShade="BF"/>
        </w:rPr>
        <w:softHyphen/>
      </w:r>
      <w:r w:rsidR="00EA3C25">
        <w:rPr>
          <w:rFonts w:eastAsiaTheme="majorEastAsia" w:cstheme="minorHAnsi"/>
          <w:color w:val="2F5496" w:themeColor="accent1" w:themeShade="BF"/>
        </w:rPr>
        <w:softHyphen/>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463A30">
        <w:trPr>
          <w:trHeight w:val="296"/>
        </w:trPr>
        <w:tc>
          <w:tcPr>
            <w:tcW w:w="4748" w:type="dxa"/>
          </w:tcPr>
          <w:p w14:paraId="5A786D43" w14:textId="77777777" w:rsidR="009368D6" w:rsidRPr="009D0066" w:rsidRDefault="009368D6" w:rsidP="00463A30">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0A6D6335" w14:textId="77777777" w:rsidR="009368D6" w:rsidRDefault="00C21E4C" w:rsidP="00463A30">
            <w:pPr>
              <w:spacing w:after="120"/>
              <w:contextualSpacing/>
              <w:jc w:val="both"/>
              <w:rPr>
                <w:rFonts w:cstheme="minorHAnsi"/>
              </w:rPr>
            </w:pPr>
            <w:r>
              <w:rPr>
                <w:rFonts w:cstheme="minorHAnsi"/>
              </w:rPr>
              <w:softHyphen/>
            </w:r>
            <w:r w:rsidR="008171C1">
              <w:rPr>
                <w:rFonts w:cstheme="minorHAnsi"/>
              </w:rPr>
              <w:t xml:space="preserve">Dr </w:t>
            </w:r>
            <w:proofErr w:type="gramStart"/>
            <w:r w:rsidR="008171C1">
              <w:rPr>
                <w:rFonts w:cstheme="minorHAnsi"/>
              </w:rPr>
              <w:t xml:space="preserve">Heba </w:t>
            </w:r>
            <w:r w:rsidR="008171C1">
              <w:t xml:space="preserve"> </w:t>
            </w:r>
            <w:r w:rsidR="008171C1" w:rsidRPr="008171C1">
              <w:rPr>
                <w:rFonts w:cstheme="minorHAnsi"/>
              </w:rPr>
              <w:t>Abdel</w:t>
            </w:r>
            <w:proofErr w:type="gramEnd"/>
            <w:r w:rsidR="008171C1" w:rsidRPr="008171C1">
              <w:rPr>
                <w:rFonts w:cstheme="minorHAnsi"/>
              </w:rPr>
              <w:t xml:space="preserve"> </w:t>
            </w:r>
            <w:proofErr w:type="spellStart"/>
            <w:r w:rsidR="008171C1" w:rsidRPr="008171C1">
              <w:rPr>
                <w:rFonts w:cstheme="minorHAnsi"/>
              </w:rPr>
              <w:t>Moneam</w:t>
            </w:r>
            <w:proofErr w:type="spellEnd"/>
          </w:p>
          <w:p w14:paraId="5904784F" w14:textId="0C4CBA2A" w:rsidR="008F3A4B" w:rsidRPr="009D0066" w:rsidRDefault="008F3A4B" w:rsidP="00463A30">
            <w:pPr>
              <w:spacing w:after="120"/>
              <w:contextualSpacing/>
              <w:jc w:val="both"/>
              <w:rPr>
                <w:rFonts w:cstheme="minorHAnsi"/>
              </w:rPr>
            </w:pPr>
            <w:r w:rsidRPr="008F3A4B">
              <w:rPr>
                <w:rFonts w:cstheme="minorHAnsi"/>
              </w:rPr>
              <w:t>Head of Central Department of Monitoring and Evaluation of National Strategies</w:t>
            </w:r>
          </w:p>
        </w:tc>
      </w:tr>
      <w:tr w:rsidR="009368D6" w:rsidRPr="009D0066" w14:paraId="79455444" w14:textId="77777777" w:rsidTr="00463A30">
        <w:trPr>
          <w:trHeight w:val="282"/>
        </w:trPr>
        <w:tc>
          <w:tcPr>
            <w:tcW w:w="4748" w:type="dxa"/>
          </w:tcPr>
          <w:p w14:paraId="5636E919" w14:textId="77777777" w:rsidR="009368D6" w:rsidRDefault="009368D6" w:rsidP="00463A30">
            <w:pPr>
              <w:spacing w:after="120"/>
              <w:contextualSpacing/>
              <w:jc w:val="both"/>
              <w:rPr>
                <w:rFonts w:cstheme="minorHAnsi"/>
              </w:rPr>
            </w:pPr>
            <w:r>
              <w:rPr>
                <w:rFonts w:cstheme="minorHAnsi"/>
              </w:rPr>
              <w:t>Nationality</w:t>
            </w:r>
          </w:p>
        </w:tc>
        <w:tc>
          <w:tcPr>
            <w:tcW w:w="5327" w:type="dxa"/>
          </w:tcPr>
          <w:p w14:paraId="13994052" w14:textId="674CADCE" w:rsidR="009368D6" w:rsidRPr="009D0066" w:rsidRDefault="00E23623" w:rsidP="00463A30">
            <w:pPr>
              <w:spacing w:after="120"/>
              <w:contextualSpacing/>
              <w:jc w:val="both"/>
              <w:rPr>
                <w:rFonts w:cstheme="minorHAnsi"/>
              </w:rPr>
            </w:pPr>
            <w:r>
              <w:rPr>
                <w:rFonts w:cstheme="minorHAnsi"/>
              </w:rPr>
              <w:t xml:space="preserve">Egyptian </w:t>
            </w:r>
          </w:p>
        </w:tc>
      </w:tr>
      <w:tr w:rsidR="008350D6" w:rsidRPr="009D0066" w14:paraId="775E32F3" w14:textId="77777777" w:rsidTr="00463A30">
        <w:trPr>
          <w:trHeight w:val="282"/>
        </w:trPr>
        <w:tc>
          <w:tcPr>
            <w:tcW w:w="4748" w:type="dxa"/>
          </w:tcPr>
          <w:p w14:paraId="7CC10B56" w14:textId="12FA9172" w:rsidR="008350D6" w:rsidRDefault="008350D6" w:rsidP="00463A30">
            <w:pPr>
              <w:spacing w:after="120"/>
              <w:contextualSpacing/>
              <w:jc w:val="both"/>
              <w:rPr>
                <w:rFonts w:cstheme="minorHAnsi"/>
              </w:rPr>
            </w:pPr>
            <w:r>
              <w:rPr>
                <w:rFonts w:cstheme="minorHAnsi"/>
              </w:rPr>
              <w:t>Gender</w:t>
            </w:r>
          </w:p>
        </w:tc>
        <w:tc>
          <w:tcPr>
            <w:tcW w:w="5327" w:type="dxa"/>
          </w:tcPr>
          <w:p w14:paraId="14DCD82F" w14:textId="33668F2B" w:rsidR="008350D6" w:rsidRPr="009D0066" w:rsidRDefault="00E23623" w:rsidP="00463A30">
            <w:pPr>
              <w:spacing w:after="120"/>
              <w:contextualSpacing/>
              <w:jc w:val="both"/>
              <w:rPr>
                <w:rFonts w:cstheme="minorHAnsi"/>
              </w:rPr>
            </w:pPr>
            <w:r>
              <w:rPr>
                <w:rFonts w:cstheme="minorHAnsi"/>
              </w:rPr>
              <w:t>Female</w:t>
            </w:r>
          </w:p>
        </w:tc>
      </w:tr>
      <w:tr w:rsidR="009368D6" w:rsidRPr="009D0066" w14:paraId="6FF79C1F" w14:textId="77777777" w:rsidTr="00463A30">
        <w:trPr>
          <w:trHeight w:val="282"/>
        </w:trPr>
        <w:tc>
          <w:tcPr>
            <w:tcW w:w="4748" w:type="dxa"/>
          </w:tcPr>
          <w:p w14:paraId="73BEA3AB" w14:textId="77777777" w:rsidR="009368D6" w:rsidRPr="009D0066" w:rsidRDefault="009368D6" w:rsidP="00463A30">
            <w:pPr>
              <w:spacing w:after="120"/>
              <w:contextualSpacing/>
              <w:jc w:val="both"/>
              <w:rPr>
                <w:rFonts w:cstheme="minorHAnsi"/>
              </w:rPr>
            </w:pPr>
            <w:r>
              <w:rPr>
                <w:rFonts w:cstheme="minorHAnsi"/>
              </w:rPr>
              <w:t xml:space="preserve">Country of residence </w:t>
            </w:r>
          </w:p>
        </w:tc>
        <w:tc>
          <w:tcPr>
            <w:tcW w:w="5327" w:type="dxa"/>
          </w:tcPr>
          <w:p w14:paraId="7399D7C5" w14:textId="4E304ACB" w:rsidR="009368D6" w:rsidRPr="009D0066" w:rsidRDefault="00E23623" w:rsidP="00463A30">
            <w:pPr>
              <w:spacing w:after="120"/>
              <w:contextualSpacing/>
              <w:jc w:val="both"/>
              <w:rPr>
                <w:rFonts w:cstheme="minorHAnsi"/>
              </w:rPr>
            </w:pPr>
            <w:r>
              <w:rPr>
                <w:rFonts w:cstheme="minorHAnsi"/>
              </w:rPr>
              <w:t xml:space="preserve">Egypt </w:t>
            </w:r>
          </w:p>
        </w:tc>
      </w:tr>
      <w:tr w:rsidR="009368D6" w:rsidRPr="009D0066" w14:paraId="5BCA24A3" w14:textId="77777777" w:rsidTr="00463A30">
        <w:trPr>
          <w:trHeight w:val="282"/>
        </w:trPr>
        <w:tc>
          <w:tcPr>
            <w:tcW w:w="4748" w:type="dxa"/>
          </w:tcPr>
          <w:p w14:paraId="092D3F56" w14:textId="77777777" w:rsidR="009368D6" w:rsidRPr="009D0066" w:rsidRDefault="009368D6" w:rsidP="00463A30">
            <w:pPr>
              <w:spacing w:after="120"/>
              <w:contextualSpacing/>
              <w:jc w:val="both"/>
              <w:rPr>
                <w:rFonts w:cstheme="minorHAnsi"/>
              </w:rPr>
            </w:pPr>
            <w:r w:rsidRPr="009D0066">
              <w:rPr>
                <w:rFonts w:cstheme="minorHAnsi"/>
              </w:rPr>
              <w:t>Institutional affiliation</w:t>
            </w:r>
          </w:p>
        </w:tc>
        <w:tc>
          <w:tcPr>
            <w:tcW w:w="5327" w:type="dxa"/>
          </w:tcPr>
          <w:p w14:paraId="27E37347" w14:textId="5883956D" w:rsidR="009368D6" w:rsidRPr="009D0066" w:rsidRDefault="00E23623" w:rsidP="00463A30">
            <w:pPr>
              <w:spacing w:after="120"/>
              <w:contextualSpacing/>
              <w:jc w:val="both"/>
              <w:rPr>
                <w:rFonts w:cstheme="minorHAnsi"/>
              </w:rPr>
            </w:pPr>
            <w:r>
              <w:rPr>
                <w:rFonts w:cstheme="minorHAnsi"/>
              </w:rPr>
              <w:t xml:space="preserve">Prime Minister’s Office </w:t>
            </w:r>
          </w:p>
        </w:tc>
      </w:tr>
      <w:tr w:rsidR="009368D6" w:rsidRPr="009D0066" w14:paraId="4FFB5C55" w14:textId="77777777" w:rsidTr="00463A30">
        <w:trPr>
          <w:trHeight w:val="282"/>
        </w:trPr>
        <w:tc>
          <w:tcPr>
            <w:tcW w:w="4748" w:type="dxa"/>
          </w:tcPr>
          <w:p w14:paraId="74EC63BE" w14:textId="77777777" w:rsidR="009368D6" w:rsidRPr="009D0066" w:rsidRDefault="009368D6" w:rsidP="00463A30">
            <w:pPr>
              <w:spacing w:after="120"/>
              <w:contextualSpacing/>
              <w:jc w:val="both"/>
              <w:rPr>
                <w:rFonts w:cstheme="minorHAnsi"/>
              </w:rPr>
            </w:pPr>
            <w:r>
              <w:rPr>
                <w:rFonts w:cstheme="minorHAnsi"/>
              </w:rPr>
              <w:t>Contact information including email and telephone</w:t>
            </w:r>
          </w:p>
        </w:tc>
        <w:tc>
          <w:tcPr>
            <w:tcW w:w="5327" w:type="dxa"/>
          </w:tcPr>
          <w:p w14:paraId="2BBB6AC2" w14:textId="6F175F9B" w:rsidR="009368D6" w:rsidRPr="009D0066" w:rsidRDefault="000F6524" w:rsidP="00463A30">
            <w:pPr>
              <w:spacing w:after="120"/>
              <w:contextualSpacing/>
              <w:jc w:val="both"/>
              <w:rPr>
                <w:rFonts w:cstheme="minorHAnsi"/>
              </w:rPr>
            </w:pPr>
            <w:r w:rsidRPr="000F6524">
              <w:rPr>
                <w:rFonts w:cstheme="minorHAnsi"/>
              </w:rPr>
              <w:t>haali@idsc.gov.eg</w:t>
            </w:r>
          </w:p>
        </w:tc>
      </w:tr>
      <w:tr w:rsidR="009368D6" w:rsidRPr="009D0066" w14:paraId="757D7A97" w14:textId="77777777" w:rsidTr="00463A30">
        <w:trPr>
          <w:trHeight w:val="282"/>
        </w:trPr>
        <w:tc>
          <w:tcPr>
            <w:tcW w:w="4748" w:type="dxa"/>
          </w:tcPr>
          <w:p w14:paraId="79120A22" w14:textId="77777777" w:rsidR="009368D6" w:rsidRPr="009D0066" w:rsidRDefault="009368D6" w:rsidP="00463A30">
            <w:pPr>
              <w:spacing w:after="120"/>
              <w:contextualSpacing/>
              <w:jc w:val="both"/>
              <w:rPr>
                <w:rFonts w:cstheme="minorHAnsi"/>
              </w:rPr>
            </w:pPr>
            <w:r w:rsidRPr="009D0066">
              <w:rPr>
                <w:rFonts w:cstheme="minorHAnsi"/>
              </w:rPr>
              <w:t>Title of the abstract</w:t>
            </w:r>
          </w:p>
        </w:tc>
        <w:tc>
          <w:tcPr>
            <w:tcW w:w="5327" w:type="dxa"/>
          </w:tcPr>
          <w:p w14:paraId="441BB1B6" w14:textId="29A8B1A5" w:rsidR="009368D6" w:rsidRPr="00B01C3B" w:rsidRDefault="003474B5" w:rsidP="00463A30">
            <w:pPr>
              <w:spacing w:after="120"/>
              <w:contextualSpacing/>
              <w:jc w:val="both"/>
              <w:rPr>
                <w:rFonts w:cstheme="minorHAnsi"/>
              </w:rPr>
            </w:pPr>
            <w:r w:rsidRPr="00B01C3B">
              <w:rPr>
                <w:rFonts w:ascii="Sakkal Majalla" w:eastAsia="Times New Roman" w:hAnsi="Sakkal Majalla" w:cs="Sakkal Majalla"/>
                <w:color w:val="0E101A"/>
                <w:sz w:val="32"/>
                <w:szCs w:val="32"/>
              </w:rPr>
              <w:t>IDSC Central Administration of National Strategies Monitoring and Evaluation</w:t>
            </w:r>
          </w:p>
        </w:tc>
      </w:tr>
      <w:tr w:rsidR="009368D6" w:rsidRPr="009D0066" w14:paraId="04164196" w14:textId="77777777" w:rsidTr="00463A30">
        <w:trPr>
          <w:trHeight w:val="282"/>
        </w:trPr>
        <w:tc>
          <w:tcPr>
            <w:tcW w:w="4748" w:type="dxa"/>
          </w:tcPr>
          <w:p w14:paraId="69D4ED23" w14:textId="77777777" w:rsidR="009368D6" w:rsidRPr="009D0066" w:rsidRDefault="009368D6" w:rsidP="00463A30">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sidRPr="003474B5">
              <w:rPr>
                <w:rFonts w:cstheme="minorHAnsi"/>
                <w:b/>
                <w:bCs/>
                <w:highlight w:val="yellow"/>
              </w:rPr>
              <w:t xml:space="preserve">Stream A. </w:t>
            </w:r>
            <w:r w:rsidRPr="003474B5">
              <w:rPr>
                <w:rFonts w:cstheme="minorHAnsi"/>
                <w:b/>
                <w:bCs/>
                <w:highlight w:val="yellow"/>
              </w:rPr>
              <w:t>R</w:t>
            </w:r>
            <w:r w:rsidR="003E6831" w:rsidRPr="003474B5">
              <w:rPr>
                <w:rFonts w:cstheme="minorHAnsi"/>
                <w:b/>
                <w:bCs/>
                <w:highlight w:val="yellow"/>
              </w:rPr>
              <w:t xml:space="preserve">esponsive </w:t>
            </w:r>
            <w:r w:rsidR="005646A0" w:rsidRPr="003474B5">
              <w:rPr>
                <w:rFonts w:cstheme="minorHAnsi"/>
                <w:b/>
                <w:bCs/>
                <w:highlight w:val="yellow"/>
              </w:rPr>
              <w:t>N</w:t>
            </w:r>
            <w:r w:rsidRPr="003474B5">
              <w:rPr>
                <w:rFonts w:cstheme="minorHAnsi"/>
                <w:b/>
                <w:bCs/>
                <w:highlight w:val="yellow"/>
              </w:rPr>
              <w:t xml:space="preserve">ational </w:t>
            </w:r>
            <w:r w:rsidR="005646A0" w:rsidRPr="003474B5">
              <w:rPr>
                <w:rFonts w:cstheme="minorHAnsi"/>
                <w:b/>
                <w:bCs/>
                <w:highlight w:val="yellow"/>
              </w:rPr>
              <w:t>E</w:t>
            </w:r>
            <w:r w:rsidRPr="003474B5">
              <w:rPr>
                <w:rFonts w:cstheme="minorHAnsi"/>
                <w:b/>
                <w:bCs/>
                <w:highlight w:val="yellow"/>
              </w:rPr>
              <w:t xml:space="preserve">valuation </w:t>
            </w:r>
            <w:r w:rsidR="005646A0" w:rsidRPr="003474B5">
              <w:rPr>
                <w:rFonts w:cstheme="minorHAnsi"/>
                <w:b/>
                <w:bCs/>
                <w:highlight w:val="yellow"/>
              </w:rPr>
              <w:t>S</w:t>
            </w:r>
            <w:r w:rsidRPr="003474B5">
              <w:rPr>
                <w:rFonts w:cstheme="minorHAnsi"/>
                <w:b/>
                <w:bCs/>
                <w:highlight w:val="yellow"/>
              </w:rPr>
              <w:t>ystems</w:t>
            </w:r>
            <w:r>
              <w:rPr>
                <w:rFonts w:cstheme="minorHAnsi"/>
              </w:rPr>
              <w:t xml:space="preserve"> </w:t>
            </w:r>
          </w:p>
          <w:p w14:paraId="214D00FB" w14:textId="77777777" w:rsidR="003E6831" w:rsidRDefault="003E6831" w:rsidP="00993845">
            <w:pPr>
              <w:spacing w:after="120"/>
              <w:contextualSpacing/>
              <w:rPr>
                <w:rFonts w:cstheme="minorHAnsi"/>
              </w:rPr>
            </w:pPr>
          </w:p>
          <w:p w14:paraId="65A35848" w14:textId="40CB66EF"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B. </w:t>
            </w:r>
            <w:r w:rsidR="003E6831">
              <w:rPr>
                <w:rFonts w:cstheme="minorHAnsi"/>
              </w:rPr>
              <w:t>Inclusive National Evaluation Systems</w:t>
            </w:r>
          </w:p>
          <w:p w14:paraId="7426A507" w14:textId="77777777" w:rsidR="003E6831" w:rsidRDefault="003E6831" w:rsidP="00993845">
            <w:pPr>
              <w:spacing w:after="120"/>
              <w:contextualSpacing/>
              <w:rPr>
                <w:rFonts w:cstheme="minorHAnsi"/>
              </w:rPr>
            </w:pP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463A30">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proofErr w:type="gramStart"/>
            <w:r>
              <w:rPr>
                <w:rFonts w:cstheme="minorHAnsi"/>
              </w:rPr>
              <w:t>)</w:t>
            </w:r>
            <w:proofErr w:type="gramEnd"/>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51C721A5" w14:textId="7FD93715" w:rsidR="009368D6" w:rsidRPr="009D0066" w:rsidRDefault="008C2A47" w:rsidP="00463A30">
            <w:pPr>
              <w:spacing w:after="120"/>
              <w:contextualSpacing/>
              <w:jc w:val="both"/>
              <w:rPr>
                <w:rFonts w:cstheme="minorHAnsi"/>
              </w:rPr>
            </w:pPr>
            <w:r>
              <w:rPr>
                <w:rFonts w:cstheme="minorHAnsi"/>
              </w:rPr>
              <w:t xml:space="preserve">Dr Sahar </w:t>
            </w:r>
            <w:proofErr w:type="gramStart"/>
            <w:r>
              <w:rPr>
                <w:rFonts w:cstheme="minorHAnsi"/>
              </w:rPr>
              <w:t xml:space="preserve">Sabry, </w:t>
            </w:r>
            <w:r>
              <w:t xml:space="preserve"> </w:t>
            </w:r>
            <w:r w:rsidRPr="008C2A47">
              <w:rPr>
                <w:rFonts w:cstheme="minorHAnsi"/>
              </w:rPr>
              <w:t>Head</w:t>
            </w:r>
            <w:proofErr w:type="gramEnd"/>
            <w:r w:rsidRPr="008C2A47">
              <w:rPr>
                <w:rFonts w:cstheme="minorHAnsi"/>
              </w:rPr>
              <w:t xml:space="preserve"> of Impact Evaluation of </w:t>
            </w:r>
            <w:r w:rsidRPr="008C2A47">
              <w:rPr>
                <w:rFonts w:cstheme="minorHAnsi"/>
              </w:rPr>
              <w:t>Strategies</w:t>
            </w:r>
            <w:r>
              <w:rPr>
                <w:rFonts w:cstheme="minorHAnsi"/>
              </w:rPr>
              <w:t xml:space="preserve">, IDSC </w:t>
            </w:r>
          </w:p>
        </w:tc>
      </w:tr>
      <w:tr w:rsidR="009368D6" w:rsidRPr="009D0066" w14:paraId="2E50B982" w14:textId="77777777" w:rsidTr="00463A30">
        <w:trPr>
          <w:trHeight w:val="282"/>
        </w:trPr>
        <w:tc>
          <w:tcPr>
            <w:tcW w:w="4748" w:type="dxa"/>
          </w:tcPr>
          <w:p w14:paraId="648F8C5C" w14:textId="77777777" w:rsidR="009368D6" w:rsidRPr="009D0066" w:rsidRDefault="009368D6" w:rsidP="00463A30">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141D314B" w:rsidR="009368D6" w:rsidRPr="009D0066" w:rsidRDefault="009368D6" w:rsidP="00797E83">
            <w:pPr>
              <w:pStyle w:val="CommentText"/>
              <w:ind w:left="0"/>
              <w:rPr>
                <w:rFonts w:cstheme="minorHAnsi"/>
                <w:sz w:val="22"/>
                <w:szCs w:val="22"/>
              </w:rPr>
            </w:pPr>
            <w:r w:rsidRPr="009D0066">
              <w:rPr>
                <w:rFonts w:cstheme="minorHAnsi"/>
                <w:sz w:val="22"/>
                <w:szCs w:val="22"/>
              </w:rPr>
              <w:t xml:space="preserve">□ </w:t>
            </w:r>
            <w:r w:rsidRPr="00B01C3B">
              <w:rPr>
                <w:rFonts w:cstheme="minorHAnsi"/>
                <w:sz w:val="22"/>
                <w:szCs w:val="22"/>
                <w:highlight w:val="yellow"/>
              </w:rPr>
              <w:t>Formal presentation (maximum 1</w:t>
            </w:r>
            <w:r w:rsidR="00175EFE" w:rsidRPr="00B01C3B">
              <w:rPr>
                <w:rFonts w:cstheme="minorHAnsi"/>
                <w:sz w:val="22"/>
                <w:szCs w:val="22"/>
                <w:highlight w:val="yellow"/>
              </w:rPr>
              <w:t>0</w:t>
            </w:r>
            <w:r w:rsidRPr="00B01C3B">
              <w:rPr>
                <w:rFonts w:cstheme="minorHAnsi"/>
                <w:sz w:val="22"/>
                <w:szCs w:val="22"/>
                <w:highlight w:val="yellow"/>
              </w:rPr>
              <w:t xml:space="preserve"> minutes)</w:t>
            </w:r>
          </w:p>
          <w:p w14:paraId="4D402568"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w:t>
            </w:r>
            <w:r w:rsidRPr="002C439B">
              <w:rPr>
                <w:rFonts w:cstheme="minorHAnsi"/>
                <w:sz w:val="22"/>
                <w:szCs w:val="22"/>
                <w:highlight w:val="yellow"/>
              </w:rPr>
              <w:t>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463A30">
        <w:trPr>
          <w:trHeight w:val="282"/>
        </w:trPr>
        <w:tc>
          <w:tcPr>
            <w:tcW w:w="4748" w:type="dxa"/>
          </w:tcPr>
          <w:p w14:paraId="69E9845E" w14:textId="790684A4" w:rsidR="009368D6" w:rsidRPr="00720A88" w:rsidRDefault="009368D6" w:rsidP="00463A30">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Pr="00B01C3B" w:rsidRDefault="009368D6" w:rsidP="00463A30">
            <w:pPr>
              <w:pStyle w:val="CommentText"/>
              <w:rPr>
                <w:rFonts w:cstheme="minorHAnsi"/>
                <w:b/>
                <w:bCs/>
                <w:sz w:val="22"/>
                <w:szCs w:val="22"/>
              </w:rPr>
            </w:pPr>
            <w:r w:rsidRPr="00B01C3B">
              <w:rPr>
                <w:rFonts w:cstheme="minorHAnsi"/>
                <w:b/>
                <w:bCs/>
                <w:sz w:val="22"/>
                <w:szCs w:val="22"/>
                <w:highlight w:val="yellow"/>
              </w:rPr>
              <w:t>□ Yes</w:t>
            </w:r>
          </w:p>
          <w:p w14:paraId="03E81189" w14:textId="77777777" w:rsidR="009368D6" w:rsidRPr="009D0066" w:rsidRDefault="009368D6" w:rsidP="00463A30">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9368D6" w:rsidRPr="009D0066" w14:paraId="007E281E" w14:textId="77777777" w:rsidTr="00463A30">
        <w:trPr>
          <w:trHeight w:val="282"/>
        </w:trPr>
        <w:tc>
          <w:tcPr>
            <w:tcW w:w="4748" w:type="dxa"/>
          </w:tcPr>
          <w:p w14:paraId="796AED88" w14:textId="0412C287" w:rsidR="009368D6" w:rsidRDefault="009368D6" w:rsidP="00463A30">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2EB14468" w:rsidR="009368D6" w:rsidRPr="009D0066" w:rsidRDefault="009368D6" w:rsidP="00463A30">
            <w:pPr>
              <w:pStyle w:val="CommentText"/>
              <w:rPr>
                <w:rFonts w:cstheme="minorHAnsi"/>
                <w:sz w:val="22"/>
                <w:szCs w:val="22"/>
              </w:rPr>
            </w:pPr>
            <w:r w:rsidRPr="00B01C3B">
              <w:rPr>
                <w:rFonts w:cstheme="minorHAnsi"/>
                <w:b/>
                <w:bCs/>
                <w:sz w:val="22"/>
                <w:szCs w:val="22"/>
                <w:highlight w:val="yellow"/>
              </w:rPr>
              <w:t>□ English</w:t>
            </w:r>
            <w:r>
              <w:rPr>
                <w:rFonts w:cstheme="minorHAnsi"/>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78103A8C"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71943D01" w14:textId="77777777" w:rsidR="00C4707F" w:rsidRDefault="00C4707F" w:rsidP="00C4707F">
            <w:pPr>
              <w:rPr>
                <w:rFonts w:cstheme="minorHAnsi"/>
              </w:rPr>
            </w:pPr>
          </w:p>
          <w:p w14:paraId="4A2B0ACF" w14:textId="0EFA6045" w:rsidR="00EB6195" w:rsidRPr="00721892" w:rsidRDefault="00EB6195" w:rsidP="0078722A">
            <w:pPr>
              <w:spacing w:before="240" w:after="240"/>
              <w:jc w:val="both"/>
              <w:rPr>
                <w:rFonts w:ascii="Sakkal Majalla" w:eastAsia="Times New Roman" w:hAnsi="Sakkal Majalla" w:cs="Sakkal Majalla"/>
                <w:color w:val="0E101A"/>
                <w:sz w:val="32"/>
                <w:szCs w:val="32"/>
              </w:rPr>
            </w:pPr>
            <w:r w:rsidRPr="00721892">
              <w:rPr>
                <w:rFonts w:ascii="Sakkal Majalla" w:eastAsia="Times New Roman" w:hAnsi="Sakkal Majalla" w:cs="Sakkal Majalla"/>
                <w:color w:val="0E101A"/>
                <w:sz w:val="32"/>
                <w:szCs w:val="32"/>
              </w:rPr>
              <w:lastRenderedPageBreak/>
              <w:t xml:space="preserve">Based on the Egyptian government's interest in the strategic planning process </w:t>
            </w:r>
            <w:r w:rsidR="000D4E32">
              <w:rPr>
                <w:rFonts w:ascii="Sakkal Majalla" w:eastAsia="Times New Roman" w:hAnsi="Sakkal Majalla" w:cs="Sakkal Majalla"/>
                <w:color w:val="0E101A"/>
                <w:sz w:val="32"/>
                <w:szCs w:val="32"/>
              </w:rPr>
              <w:t>&amp;</w:t>
            </w:r>
            <w:r w:rsidRPr="00721892">
              <w:rPr>
                <w:rFonts w:ascii="Sakkal Majalla" w:eastAsia="Times New Roman" w:hAnsi="Sakkal Majalla" w:cs="Sakkal Majalla"/>
                <w:color w:val="0E101A"/>
                <w:sz w:val="32"/>
                <w:szCs w:val="32"/>
              </w:rPr>
              <w:t xml:space="preserve"> its role in supporting the decision-making process, </w:t>
            </w:r>
            <w:r w:rsidR="000D4E32">
              <w:rPr>
                <w:rFonts w:ascii="Sakkal Majalla" w:eastAsia="Times New Roman" w:hAnsi="Sakkal Majalla" w:cs="Sakkal Majalla"/>
                <w:color w:val="0E101A"/>
                <w:sz w:val="32"/>
                <w:szCs w:val="32"/>
              </w:rPr>
              <w:t xml:space="preserve">a </w:t>
            </w:r>
            <w:r w:rsidRPr="00721892">
              <w:rPr>
                <w:rFonts w:ascii="Sakkal Majalla" w:eastAsia="Times New Roman" w:hAnsi="Sakkal Majalla" w:cs="Sakkal Majalla"/>
                <w:color w:val="0E101A"/>
                <w:sz w:val="32"/>
                <w:szCs w:val="32"/>
              </w:rPr>
              <w:t xml:space="preserve">decree was issued to reorganize the Information </w:t>
            </w:r>
            <w:r w:rsidR="000B6992">
              <w:rPr>
                <w:rFonts w:ascii="Sakkal Majalla" w:eastAsia="Times New Roman" w:hAnsi="Sakkal Majalla" w:cs="Sakkal Majalla"/>
                <w:color w:val="0E101A"/>
                <w:sz w:val="32"/>
                <w:szCs w:val="32"/>
              </w:rPr>
              <w:t>&amp;</w:t>
            </w:r>
            <w:r w:rsidRPr="00721892">
              <w:rPr>
                <w:rFonts w:ascii="Sakkal Majalla" w:eastAsia="Times New Roman" w:hAnsi="Sakkal Majalla" w:cs="Sakkal Majalla"/>
                <w:color w:val="0E101A"/>
                <w:sz w:val="32"/>
                <w:szCs w:val="32"/>
              </w:rPr>
              <w:t xml:space="preserve"> Decision Support Center (IDSC) </w:t>
            </w:r>
            <w:r w:rsidR="004C3BBB">
              <w:rPr>
                <w:rFonts w:ascii="Sakkal Majalla" w:eastAsia="Times New Roman" w:hAnsi="Sakkal Majalla" w:cs="Sakkal Majalla"/>
                <w:color w:val="0E101A"/>
                <w:sz w:val="32"/>
                <w:szCs w:val="32"/>
              </w:rPr>
              <w:t xml:space="preserve">as the </w:t>
            </w:r>
            <w:r w:rsidR="004C3BBB" w:rsidRPr="00721892">
              <w:rPr>
                <w:rFonts w:ascii="Sakkal Majalla" w:eastAsia="Times New Roman" w:hAnsi="Sakkal Majalla" w:cs="Sakkal Majalla"/>
                <w:color w:val="0E101A"/>
                <w:sz w:val="32"/>
                <w:szCs w:val="32"/>
              </w:rPr>
              <w:t>Intellectual arm of the Egyptian Cabinet</w:t>
            </w:r>
            <w:r w:rsidR="004C3BBB">
              <w:rPr>
                <w:rFonts w:ascii="Sakkal Majalla" w:eastAsia="Times New Roman" w:hAnsi="Sakkal Majalla" w:cs="Sakkal Majalla"/>
                <w:color w:val="0E101A"/>
                <w:sz w:val="32"/>
                <w:szCs w:val="32"/>
              </w:rPr>
              <w:t xml:space="preserve"> </w:t>
            </w:r>
            <w:r w:rsidR="006D3E6D">
              <w:rPr>
                <w:rFonts w:ascii="Sakkal Majalla" w:eastAsia="Times New Roman" w:hAnsi="Sakkal Majalla" w:cs="Sakkal Majalla"/>
                <w:color w:val="0E101A"/>
                <w:sz w:val="32"/>
                <w:szCs w:val="32"/>
              </w:rPr>
              <w:t>for</w:t>
            </w:r>
            <w:r w:rsidRPr="00721892">
              <w:rPr>
                <w:rFonts w:ascii="Sakkal Majalla" w:eastAsia="Times New Roman" w:hAnsi="Sakkal Majalla" w:cs="Sakkal Majalla"/>
                <w:color w:val="0E101A"/>
                <w:sz w:val="32"/>
                <w:szCs w:val="32"/>
              </w:rPr>
              <w:t xml:space="preserve"> monitoring the implementation of the national strategies/policies </w:t>
            </w:r>
            <w:r w:rsidR="000B6992">
              <w:rPr>
                <w:rFonts w:ascii="Sakkal Majalla" w:eastAsia="Times New Roman" w:hAnsi="Sakkal Majalla" w:cs="Sakkal Majalla"/>
                <w:color w:val="0E101A"/>
                <w:sz w:val="32"/>
                <w:szCs w:val="32"/>
              </w:rPr>
              <w:t>&amp;</w:t>
            </w:r>
            <w:r w:rsidRPr="00721892">
              <w:rPr>
                <w:rFonts w:ascii="Sakkal Majalla" w:eastAsia="Times New Roman" w:hAnsi="Sakkal Majalla" w:cs="Sakkal Majalla"/>
                <w:color w:val="0E101A"/>
                <w:sz w:val="32"/>
                <w:szCs w:val="32"/>
              </w:rPr>
              <w:t xml:space="preserve"> assessing their impact.</w:t>
            </w:r>
          </w:p>
          <w:p w14:paraId="704A81DC" w14:textId="188BB284" w:rsidR="00EB6195" w:rsidRPr="00721892" w:rsidRDefault="00EB6195" w:rsidP="00EB6195">
            <w:pPr>
              <w:spacing w:before="240" w:after="240"/>
              <w:jc w:val="both"/>
              <w:rPr>
                <w:rFonts w:ascii="Sakkal Majalla" w:eastAsia="Times New Roman" w:hAnsi="Sakkal Majalla" w:cs="Sakkal Majalla"/>
                <w:color w:val="0E101A"/>
                <w:sz w:val="32"/>
                <w:szCs w:val="32"/>
              </w:rPr>
            </w:pPr>
            <w:r w:rsidRPr="00721892">
              <w:rPr>
                <w:rFonts w:ascii="Sakkal Majalla" w:eastAsia="Times New Roman" w:hAnsi="Sakkal Majalla" w:cs="Sakkal Majalla"/>
                <w:color w:val="0E101A"/>
                <w:sz w:val="32"/>
                <w:szCs w:val="32"/>
              </w:rPr>
              <w:t xml:space="preserve">Accordingly, The Practical framework for the National Strategies Monitoring and Evaluation System has been developed. This framework outlines the key guiding principles desired outcomes, internal collaborative frameworks, and effective partnerships with various agencies according to the best practices. </w:t>
            </w:r>
          </w:p>
          <w:p w14:paraId="01F52B7F" w14:textId="1B1B507B" w:rsidR="00EB6195" w:rsidRPr="00721892" w:rsidRDefault="00EB6195" w:rsidP="006068DA">
            <w:pPr>
              <w:spacing w:before="240" w:after="240"/>
              <w:jc w:val="both"/>
              <w:rPr>
                <w:rFonts w:ascii="Sakkal Majalla" w:eastAsia="Times New Roman" w:hAnsi="Sakkal Majalla" w:cs="Sakkal Majalla"/>
                <w:color w:val="0E101A"/>
                <w:sz w:val="32"/>
                <w:szCs w:val="32"/>
              </w:rPr>
            </w:pPr>
            <w:r w:rsidRPr="00721892">
              <w:rPr>
                <w:rFonts w:ascii="Sakkal Majalla" w:eastAsia="Times New Roman" w:hAnsi="Sakkal Majalla" w:cs="Sakkal Majalla"/>
                <w:color w:val="0E101A"/>
                <w:sz w:val="32"/>
                <w:szCs w:val="32"/>
              </w:rPr>
              <w:t xml:space="preserve">In June 2024, the Central Department for National Strategies Monitoring and Evaluation was established within IDSC, including </w:t>
            </w:r>
            <w:r w:rsidR="002064CC">
              <w:rPr>
                <w:rFonts w:ascii="Sakkal Majalla" w:eastAsia="Times New Roman" w:hAnsi="Sakkal Majalla" w:cs="Sakkal Majalla"/>
                <w:color w:val="0E101A"/>
                <w:sz w:val="32"/>
                <w:szCs w:val="32"/>
              </w:rPr>
              <w:t>5</w:t>
            </w:r>
            <w:r w:rsidRPr="00721892">
              <w:rPr>
                <w:rFonts w:ascii="Sakkal Majalla" w:eastAsia="Times New Roman" w:hAnsi="Sakkal Majalla" w:cs="Sakkal Majalla"/>
                <w:color w:val="0E101A"/>
                <w:sz w:val="32"/>
                <w:szCs w:val="32"/>
              </w:rPr>
              <w:t xml:space="preserve"> </w:t>
            </w:r>
            <w:proofErr w:type="gramStart"/>
            <w:r w:rsidRPr="00721892">
              <w:rPr>
                <w:rFonts w:ascii="Sakkal Majalla" w:eastAsia="Times New Roman" w:hAnsi="Sakkal Majalla" w:cs="Sakkal Majalla"/>
                <w:color w:val="0E101A"/>
                <w:sz w:val="32"/>
                <w:szCs w:val="32"/>
              </w:rPr>
              <w:t>departments</w:t>
            </w:r>
            <w:r w:rsidR="002064CC">
              <w:rPr>
                <w:rFonts w:ascii="Sakkal Majalla" w:eastAsia="Times New Roman" w:hAnsi="Sakkal Majalla" w:cs="Sakkal Majalla"/>
                <w:color w:val="0E101A"/>
                <w:sz w:val="32"/>
                <w:szCs w:val="32"/>
              </w:rPr>
              <w:t>;</w:t>
            </w:r>
            <w:proofErr w:type="gramEnd"/>
            <w:r w:rsidR="002064CC">
              <w:rPr>
                <w:rFonts w:ascii="Sakkal Majalla" w:eastAsia="Times New Roman" w:hAnsi="Sakkal Majalla" w:cs="Sakkal Majalla"/>
                <w:color w:val="0E101A"/>
                <w:sz w:val="32"/>
                <w:szCs w:val="32"/>
              </w:rPr>
              <w:t xml:space="preserve"> </w:t>
            </w:r>
            <w:r w:rsidRPr="00721892">
              <w:rPr>
                <w:rFonts w:ascii="Sakkal Majalla" w:eastAsia="Times New Roman" w:hAnsi="Sakkal Majalla" w:cs="Sakkal Majalla"/>
                <w:color w:val="0E101A"/>
                <w:sz w:val="32"/>
                <w:szCs w:val="32"/>
              </w:rPr>
              <w:t>Strategies Indicators</w:t>
            </w:r>
            <w:r w:rsidR="002064CC">
              <w:rPr>
                <w:rFonts w:ascii="Sakkal Majalla" w:eastAsia="Times New Roman" w:hAnsi="Sakkal Majalla" w:cs="Sakkal Majalla"/>
                <w:color w:val="0E101A"/>
                <w:sz w:val="32"/>
                <w:szCs w:val="32"/>
              </w:rPr>
              <w:t xml:space="preserve">, </w:t>
            </w:r>
            <w:r w:rsidRPr="00721892">
              <w:rPr>
                <w:rFonts w:ascii="Sakkal Majalla" w:eastAsia="Times New Roman" w:hAnsi="Sakkal Majalla" w:cs="Sakkal Majalla"/>
                <w:color w:val="0E101A"/>
                <w:sz w:val="32"/>
                <w:szCs w:val="32"/>
              </w:rPr>
              <w:t xml:space="preserve">Monitoring </w:t>
            </w:r>
            <w:r w:rsidR="002064CC">
              <w:rPr>
                <w:rFonts w:ascii="Sakkal Majalla" w:eastAsia="Times New Roman" w:hAnsi="Sakkal Majalla" w:cs="Sakkal Majalla"/>
                <w:color w:val="0E101A"/>
                <w:sz w:val="32"/>
                <w:szCs w:val="32"/>
              </w:rPr>
              <w:t>&amp;</w:t>
            </w:r>
            <w:r w:rsidRPr="00721892">
              <w:rPr>
                <w:rFonts w:ascii="Sakkal Majalla" w:eastAsia="Times New Roman" w:hAnsi="Sakkal Majalla" w:cs="Sakkal Majalla"/>
                <w:color w:val="0E101A"/>
                <w:sz w:val="32"/>
                <w:szCs w:val="32"/>
              </w:rPr>
              <w:t xml:space="preserve"> reviewing</w:t>
            </w:r>
            <w:r w:rsidR="006068DA">
              <w:rPr>
                <w:rFonts w:ascii="Sakkal Majalla" w:eastAsia="Times New Roman" w:hAnsi="Sakkal Majalla" w:cs="Sakkal Majalla"/>
                <w:color w:val="0E101A"/>
                <w:sz w:val="32"/>
                <w:szCs w:val="32"/>
              </w:rPr>
              <w:t xml:space="preserve">, </w:t>
            </w:r>
            <w:r w:rsidRPr="00721892">
              <w:rPr>
                <w:rFonts w:ascii="Sakkal Majalla" w:eastAsia="Times New Roman" w:hAnsi="Sakkal Majalla" w:cs="Sakkal Majalla"/>
                <w:color w:val="0E101A"/>
                <w:sz w:val="32"/>
                <w:szCs w:val="32"/>
              </w:rPr>
              <w:t xml:space="preserve">Impact </w:t>
            </w:r>
            <w:r>
              <w:rPr>
                <w:rFonts w:ascii="Sakkal Majalla" w:eastAsia="Times New Roman" w:hAnsi="Sakkal Majalla" w:cs="Sakkal Majalla"/>
                <w:color w:val="0E101A"/>
                <w:sz w:val="32"/>
                <w:szCs w:val="32"/>
              </w:rPr>
              <w:t>Evaluation</w:t>
            </w:r>
            <w:r w:rsidR="006068DA">
              <w:rPr>
                <w:rFonts w:ascii="Sakkal Majalla" w:eastAsia="Times New Roman" w:hAnsi="Sakkal Majalla" w:cs="Sakkal Majalla"/>
                <w:color w:val="0E101A"/>
                <w:sz w:val="32"/>
                <w:szCs w:val="32"/>
              </w:rPr>
              <w:t xml:space="preserve">, </w:t>
            </w:r>
            <w:r w:rsidRPr="00721892">
              <w:rPr>
                <w:rFonts w:ascii="Sakkal Majalla" w:eastAsia="Times New Roman" w:hAnsi="Sakkal Majalla" w:cs="Sakkal Majalla"/>
                <w:color w:val="0E101A"/>
                <w:sz w:val="32"/>
                <w:szCs w:val="32"/>
              </w:rPr>
              <w:t>Public Awareness</w:t>
            </w:r>
            <w:r w:rsidR="006068DA">
              <w:rPr>
                <w:rFonts w:ascii="Sakkal Majalla" w:eastAsia="Times New Roman" w:hAnsi="Sakkal Majalla" w:cs="Sakkal Majalla"/>
                <w:color w:val="0E101A"/>
                <w:sz w:val="32"/>
                <w:szCs w:val="32"/>
              </w:rPr>
              <w:t xml:space="preserve">, &amp; </w:t>
            </w:r>
            <w:r w:rsidRPr="00721892">
              <w:rPr>
                <w:rFonts w:ascii="Sakkal Majalla" w:eastAsia="Times New Roman" w:hAnsi="Sakkal Majalla" w:cs="Sakkal Majalla"/>
                <w:color w:val="0E101A"/>
                <w:sz w:val="32"/>
                <w:szCs w:val="32"/>
              </w:rPr>
              <w:t>Strategic Publications Department.</w:t>
            </w:r>
          </w:p>
          <w:p w14:paraId="6CC05F25" w14:textId="2CC617DB" w:rsidR="00EB6195" w:rsidRPr="00721892" w:rsidRDefault="00EB6195" w:rsidP="00EB6195">
            <w:pPr>
              <w:spacing w:before="240" w:after="240"/>
              <w:jc w:val="both"/>
              <w:rPr>
                <w:rFonts w:ascii="Sakkal Majalla" w:eastAsia="Times New Roman" w:hAnsi="Sakkal Majalla" w:cs="Sakkal Majalla"/>
                <w:color w:val="0E101A"/>
                <w:sz w:val="32"/>
                <w:szCs w:val="32"/>
              </w:rPr>
            </w:pPr>
            <w:r w:rsidRPr="00721892">
              <w:rPr>
                <w:rFonts w:ascii="Sakkal Majalla" w:eastAsia="Times New Roman" w:hAnsi="Sakkal Majalla" w:cs="Sakkal Majalla"/>
                <w:color w:val="0E101A"/>
                <w:sz w:val="32"/>
                <w:szCs w:val="32"/>
              </w:rPr>
              <w:t>The vision of the Impact Assessment department</w:t>
            </w:r>
            <w:r w:rsidR="005C456B">
              <w:rPr>
                <w:rFonts w:ascii="Sakkal Majalla" w:eastAsia="Times New Roman" w:hAnsi="Sakkal Majalla" w:cs="Sakkal Majalla"/>
                <w:color w:val="0E101A"/>
                <w:sz w:val="32"/>
                <w:szCs w:val="32"/>
              </w:rPr>
              <w:t xml:space="preserve"> is </w:t>
            </w:r>
            <w:r w:rsidRPr="00721892">
              <w:rPr>
                <w:rFonts w:ascii="Sakkal Majalla" w:eastAsia="Times New Roman" w:hAnsi="Sakkal Majalla" w:cs="Sakkal Majalla"/>
                <w:color w:val="0E101A"/>
                <w:sz w:val="32"/>
                <w:szCs w:val="32"/>
              </w:rPr>
              <w:t xml:space="preserve">to assess the suitability, relevancy, </w:t>
            </w:r>
            <w:r w:rsidR="00AE27B5">
              <w:rPr>
                <w:rFonts w:ascii="Sakkal Majalla" w:eastAsia="Times New Roman" w:hAnsi="Sakkal Majalla" w:cs="Sakkal Majalla"/>
                <w:color w:val="0E101A"/>
                <w:sz w:val="32"/>
                <w:szCs w:val="32"/>
              </w:rPr>
              <w:t>&amp;</w:t>
            </w:r>
            <w:r w:rsidRPr="00721892">
              <w:rPr>
                <w:rFonts w:ascii="Sakkal Majalla" w:eastAsia="Times New Roman" w:hAnsi="Sakkal Majalla" w:cs="Sakkal Majalla"/>
                <w:color w:val="0E101A"/>
                <w:sz w:val="32"/>
                <w:szCs w:val="32"/>
              </w:rPr>
              <w:t xml:space="preserve"> effectiveness of national strategies </w:t>
            </w:r>
            <w:r w:rsidR="005C456B">
              <w:rPr>
                <w:rFonts w:ascii="Sakkal Majalla" w:eastAsia="Times New Roman" w:hAnsi="Sakkal Majalla" w:cs="Sakkal Majalla"/>
                <w:color w:val="0E101A"/>
                <w:sz w:val="32"/>
                <w:szCs w:val="32"/>
              </w:rPr>
              <w:t>&amp;</w:t>
            </w:r>
            <w:r w:rsidRPr="00721892">
              <w:rPr>
                <w:rFonts w:ascii="Sakkal Majalla" w:eastAsia="Times New Roman" w:hAnsi="Sakkal Majalla" w:cs="Sakkal Majalla"/>
                <w:color w:val="0E101A"/>
                <w:sz w:val="32"/>
                <w:szCs w:val="32"/>
              </w:rPr>
              <w:t xml:space="preserve"> utilize evaluation as a tool that plays an active role in the public policy-making process, making it more effective, inclusive, and responsive to the needs of Egyptian society </w:t>
            </w:r>
            <w:r w:rsidR="002B0D6F">
              <w:rPr>
                <w:rFonts w:ascii="Sakkal Majalla" w:eastAsia="Times New Roman" w:hAnsi="Sakkal Majalla" w:cs="Sakkal Majalla"/>
                <w:color w:val="0E101A"/>
                <w:sz w:val="32"/>
                <w:szCs w:val="32"/>
              </w:rPr>
              <w:t>&amp;</w:t>
            </w:r>
            <w:r w:rsidRPr="00721892">
              <w:rPr>
                <w:rFonts w:ascii="Sakkal Majalla" w:eastAsia="Times New Roman" w:hAnsi="Sakkal Majalla" w:cs="Sakkal Majalla"/>
                <w:color w:val="0E101A"/>
                <w:sz w:val="32"/>
                <w:szCs w:val="32"/>
              </w:rPr>
              <w:t xml:space="preserve"> </w:t>
            </w:r>
            <w:r w:rsidR="00AE27B5">
              <w:rPr>
                <w:rFonts w:ascii="Sakkal Majalla" w:eastAsia="Times New Roman" w:hAnsi="Sakkal Majalla" w:cs="Sakkal Majalla"/>
                <w:color w:val="0E101A"/>
                <w:sz w:val="32"/>
                <w:szCs w:val="32"/>
              </w:rPr>
              <w:t>leaving</w:t>
            </w:r>
            <w:r w:rsidRPr="00721892">
              <w:rPr>
                <w:rFonts w:ascii="Sakkal Majalla" w:eastAsia="Times New Roman" w:hAnsi="Sakkal Majalla" w:cs="Sakkal Majalla"/>
                <w:color w:val="0E101A"/>
                <w:sz w:val="32"/>
                <w:szCs w:val="32"/>
              </w:rPr>
              <w:t xml:space="preserve"> no one</w:t>
            </w:r>
            <w:r w:rsidR="00AE27B5">
              <w:rPr>
                <w:rFonts w:ascii="Sakkal Majalla" w:eastAsia="Times New Roman" w:hAnsi="Sakkal Majalla" w:cs="Sakkal Majalla"/>
                <w:color w:val="0E101A"/>
                <w:sz w:val="32"/>
                <w:szCs w:val="32"/>
              </w:rPr>
              <w:t xml:space="preserve"> </w:t>
            </w:r>
            <w:r w:rsidRPr="00721892">
              <w:rPr>
                <w:rFonts w:ascii="Sakkal Majalla" w:eastAsia="Times New Roman" w:hAnsi="Sakkal Majalla" w:cs="Sakkal Majalla"/>
                <w:color w:val="0E101A"/>
                <w:sz w:val="32"/>
                <w:szCs w:val="32"/>
              </w:rPr>
              <w:t>behind.</w:t>
            </w:r>
          </w:p>
          <w:p w14:paraId="2B0F038E" w14:textId="10DE8D26" w:rsidR="00EB6195" w:rsidRPr="00721892" w:rsidRDefault="00EB6195" w:rsidP="00EB6195">
            <w:pPr>
              <w:spacing w:before="240" w:after="240"/>
              <w:jc w:val="both"/>
              <w:rPr>
                <w:rFonts w:ascii="Sakkal Majalla" w:eastAsia="Times New Roman" w:hAnsi="Sakkal Majalla" w:cs="Sakkal Majalla"/>
                <w:color w:val="0E101A"/>
                <w:sz w:val="32"/>
                <w:szCs w:val="32"/>
              </w:rPr>
            </w:pPr>
            <w:r w:rsidRPr="00721892">
              <w:rPr>
                <w:rFonts w:ascii="Sakkal Majalla" w:eastAsia="Times New Roman" w:hAnsi="Sakkal Majalla" w:cs="Sakkal Majalla"/>
                <w:color w:val="0E101A"/>
                <w:sz w:val="32"/>
                <w:szCs w:val="32"/>
              </w:rPr>
              <w:t xml:space="preserve">The Department aims to strengthen the National Evaluation System by fostering peer learning </w:t>
            </w:r>
            <w:r w:rsidR="00DB59FD">
              <w:rPr>
                <w:rFonts w:ascii="Sakkal Majalla" w:eastAsia="Times New Roman" w:hAnsi="Sakkal Majalla" w:cs="Sakkal Majalla"/>
                <w:color w:val="0E101A"/>
                <w:sz w:val="32"/>
                <w:szCs w:val="32"/>
              </w:rPr>
              <w:t>&amp;</w:t>
            </w:r>
            <w:r w:rsidRPr="00721892">
              <w:rPr>
                <w:rFonts w:ascii="Sakkal Majalla" w:eastAsia="Times New Roman" w:hAnsi="Sakkal Majalla" w:cs="Sakkal Majalla"/>
                <w:color w:val="0E101A"/>
                <w:sz w:val="32"/>
                <w:szCs w:val="32"/>
              </w:rPr>
              <w:t xml:space="preserve"> collaborating with international agencies for capacity-building. In this </w:t>
            </w:r>
            <w:r w:rsidR="00DB59FD" w:rsidRPr="00721892">
              <w:rPr>
                <w:rFonts w:ascii="Sakkal Majalla" w:eastAsia="Times New Roman" w:hAnsi="Sakkal Majalla" w:cs="Sakkal Majalla"/>
                <w:color w:val="0E101A"/>
                <w:sz w:val="32"/>
                <w:szCs w:val="32"/>
              </w:rPr>
              <w:t xml:space="preserve">context, </w:t>
            </w:r>
            <w:r w:rsidR="00DB59FD">
              <w:rPr>
                <w:rFonts w:ascii="Sakkal Majalla" w:eastAsia="Times New Roman" w:hAnsi="Sakkal Majalla" w:cs="Sakkal Majalla"/>
                <w:color w:val="0E101A"/>
                <w:sz w:val="32"/>
                <w:szCs w:val="32"/>
              </w:rPr>
              <w:t>a</w:t>
            </w:r>
            <w:r w:rsidR="002B0D6F">
              <w:rPr>
                <w:rFonts w:ascii="Sakkal Majalla" w:eastAsia="Times New Roman" w:hAnsi="Sakkal Majalla" w:cs="Sakkal Majalla"/>
                <w:color w:val="0E101A"/>
                <w:sz w:val="32"/>
                <w:szCs w:val="32"/>
              </w:rPr>
              <w:t xml:space="preserve"> </w:t>
            </w:r>
            <w:r w:rsidRPr="00721892">
              <w:rPr>
                <w:rFonts w:ascii="Sakkal Majalla" w:eastAsia="Times New Roman" w:hAnsi="Sakkal Majalla" w:cs="Sakkal Majalla"/>
                <w:color w:val="0E101A"/>
                <w:sz w:val="32"/>
                <w:szCs w:val="32"/>
              </w:rPr>
              <w:t>MOU</w:t>
            </w:r>
            <w:r w:rsidR="002B0D6F">
              <w:rPr>
                <w:rFonts w:ascii="Sakkal Majalla" w:eastAsia="Times New Roman" w:hAnsi="Sakkal Majalla" w:cs="Sakkal Majalla"/>
                <w:color w:val="0E101A"/>
                <w:sz w:val="32"/>
                <w:szCs w:val="32"/>
              </w:rPr>
              <w:t xml:space="preserve"> </w:t>
            </w:r>
            <w:r w:rsidRPr="00721892">
              <w:rPr>
                <w:rFonts w:ascii="Sakkal Majalla" w:eastAsia="Times New Roman" w:hAnsi="Sakkal Majalla" w:cs="Sakkal Majalla"/>
                <w:color w:val="0E101A"/>
                <w:sz w:val="32"/>
                <w:szCs w:val="32"/>
              </w:rPr>
              <w:t xml:space="preserve">will be signed between IDSC </w:t>
            </w:r>
            <w:r w:rsidR="002B0D6F">
              <w:rPr>
                <w:rFonts w:ascii="Sakkal Majalla" w:eastAsia="Times New Roman" w:hAnsi="Sakkal Majalla" w:cs="Sakkal Majalla"/>
                <w:color w:val="0E101A"/>
                <w:sz w:val="32"/>
                <w:szCs w:val="32"/>
              </w:rPr>
              <w:t>&amp;</w:t>
            </w:r>
            <w:r w:rsidRPr="00721892">
              <w:rPr>
                <w:rFonts w:ascii="Sakkal Majalla" w:eastAsia="Times New Roman" w:hAnsi="Sakkal Majalla" w:cs="Sakkal Majalla"/>
                <w:color w:val="0E101A"/>
                <w:sz w:val="32"/>
                <w:szCs w:val="32"/>
              </w:rPr>
              <w:t>UNDP</w:t>
            </w:r>
            <w:r w:rsidR="002B0D6F">
              <w:rPr>
                <w:rFonts w:ascii="Sakkal Majalla" w:eastAsia="Times New Roman" w:hAnsi="Sakkal Majalla" w:cs="Sakkal Majalla"/>
                <w:color w:val="0E101A"/>
                <w:sz w:val="32"/>
                <w:szCs w:val="32"/>
              </w:rPr>
              <w:t xml:space="preserve"> </w:t>
            </w:r>
            <w:r w:rsidRPr="00721892">
              <w:rPr>
                <w:rFonts w:ascii="Sakkal Majalla" w:eastAsia="Times New Roman" w:hAnsi="Sakkal Majalla" w:cs="Sakkal Majalla"/>
                <w:color w:val="0E101A"/>
                <w:sz w:val="32"/>
                <w:szCs w:val="32"/>
              </w:rPr>
              <w:t xml:space="preserve">to build capacities in the field of evaluation </w:t>
            </w:r>
            <w:r w:rsidR="0037331D">
              <w:rPr>
                <w:rFonts w:ascii="Sakkal Majalla" w:eastAsia="Times New Roman" w:hAnsi="Sakkal Majalla" w:cs="Sakkal Majalla"/>
                <w:color w:val="0E101A"/>
                <w:sz w:val="32"/>
                <w:szCs w:val="32"/>
              </w:rPr>
              <w:t>&amp;</w:t>
            </w:r>
            <w:r w:rsidRPr="00721892">
              <w:rPr>
                <w:rFonts w:ascii="Sakkal Majalla" w:eastAsia="Times New Roman" w:hAnsi="Sakkal Majalla" w:cs="Sakkal Majalla"/>
                <w:color w:val="0E101A"/>
                <w:sz w:val="32"/>
                <w:szCs w:val="32"/>
              </w:rPr>
              <w:t xml:space="preserve"> obtain quantitative outputs based on strong data analysis to evaluate the impact of a specific intervention instead of relying on descriptive data analysis.</w:t>
            </w:r>
          </w:p>
          <w:p w14:paraId="7A0834D3" w14:textId="71AA74BD" w:rsidR="00EB6195" w:rsidRPr="00721892" w:rsidRDefault="00EB6195" w:rsidP="002C6B71">
            <w:pPr>
              <w:spacing w:before="240" w:after="240"/>
              <w:jc w:val="both"/>
              <w:rPr>
                <w:rFonts w:ascii="Sakkal Majalla" w:eastAsia="Times New Roman" w:hAnsi="Sakkal Majalla" w:cs="Sakkal Majalla"/>
                <w:color w:val="0E101A"/>
                <w:sz w:val="32"/>
                <w:szCs w:val="32"/>
              </w:rPr>
            </w:pPr>
            <w:r w:rsidRPr="00721892">
              <w:rPr>
                <w:rFonts w:ascii="Sakkal Majalla" w:eastAsia="Times New Roman" w:hAnsi="Sakkal Majalla" w:cs="Sakkal Majalla"/>
                <w:color w:val="0E101A"/>
                <w:sz w:val="32"/>
                <w:szCs w:val="32"/>
              </w:rPr>
              <w:t>IDSC has</w:t>
            </w:r>
            <w:r w:rsidR="00DB59FD">
              <w:rPr>
                <w:rFonts w:ascii="Sakkal Majalla" w:eastAsia="Times New Roman" w:hAnsi="Sakkal Majalla" w:cs="Sakkal Majalla"/>
                <w:color w:val="0E101A"/>
                <w:sz w:val="32"/>
                <w:szCs w:val="32"/>
              </w:rPr>
              <w:t xml:space="preserve"> participated in t</w:t>
            </w:r>
            <w:r w:rsidRPr="00721892">
              <w:rPr>
                <w:rFonts w:ascii="Sakkal Majalla" w:eastAsia="Times New Roman" w:hAnsi="Sakkal Majalla" w:cs="Sakkal Majalla"/>
                <w:color w:val="0E101A"/>
                <w:sz w:val="32"/>
                <w:szCs w:val="32"/>
              </w:rPr>
              <w:t xml:space="preserve">he </w:t>
            </w:r>
            <w:r w:rsidR="0037331D">
              <w:rPr>
                <w:rFonts w:ascii="Sakkal Majalla" w:eastAsia="Times New Roman" w:hAnsi="Sakkal Majalla" w:cs="Sakkal Majalla"/>
                <w:color w:val="0E101A"/>
                <w:sz w:val="32"/>
                <w:szCs w:val="32"/>
              </w:rPr>
              <w:t>WB</w:t>
            </w:r>
            <w:r w:rsidRPr="00721892">
              <w:rPr>
                <w:rFonts w:ascii="Sakkal Majalla" w:eastAsia="Times New Roman" w:hAnsi="Sakkal Majalla" w:cs="Sakkal Majalla"/>
                <w:color w:val="0E101A"/>
                <w:sz w:val="32"/>
                <w:szCs w:val="32"/>
              </w:rPr>
              <w:t xml:space="preserve"> survey within the framework of </w:t>
            </w:r>
            <w:r w:rsidR="008A3E1E">
              <w:rPr>
                <w:rFonts w:ascii="Sakkal Majalla" w:eastAsia="Times New Roman" w:hAnsi="Sakkal Majalla" w:cs="Sakkal Majalla"/>
                <w:color w:val="0E101A"/>
                <w:sz w:val="32"/>
                <w:szCs w:val="32"/>
              </w:rPr>
              <w:t>a</w:t>
            </w:r>
            <w:r w:rsidRPr="00721892">
              <w:rPr>
                <w:rFonts w:ascii="Sakkal Majalla" w:eastAsia="Times New Roman" w:hAnsi="Sakkal Majalla" w:cs="Sakkal Majalla"/>
                <w:color w:val="0E101A"/>
                <w:sz w:val="32"/>
                <w:szCs w:val="32"/>
              </w:rPr>
              <w:t xml:space="preserve"> study to highlight the current status of </w:t>
            </w:r>
            <w:r w:rsidR="002C6B71">
              <w:rPr>
                <w:rFonts w:ascii="Sakkal Majalla" w:eastAsia="Times New Roman" w:hAnsi="Sakkal Majalla" w:cs="Sakkal Majalla"/>
                <w:color w:val="0E101A"/>
                <w:sz w:val="32"/>
                <w:szCs w:val="32"/>
              </w:rPr>
              <w:t>M&amp;E</w:t>
            </w:r>
            <w:r w:rsidRPr="00721892">
              <w:rPr>
                <w:rFonts w:ascii="Sakkal Majalla" w:eastAsia="Times New Roman" w:hAnsi="Sakkal Majalla" w:cs="Sakkal Majalla"/>
                <w:color w:val="0E101A"/>
                <w:sz w:val="32"/>
                <w:szCs w:val="32"/>
              </w:rPr>
              <w:t xml:space="preserve"> schemes in the MENA region, which will pave the way for a strategic partnership </w:t>
            </w:r>
            <w:r w:rsidR="008A3E1E">
              <w:rPr>
                <w:rFonts w:ascii="Sakkal Majalla" w:eastAsia="Times New Roman" w:hAnsi="Sakkal Majalla" w:cs="Sakkal Majalla"/>
                <w:color w:val="0E101A"/>
                <w:sz w:val="32"/>
                <w:szCs w:val="32"/>
              </w:rPr>
              <w:t>with</w:t>
            </w:r>
            <w:r w:rsidR="002C6B71">
              <w:rPr>
                <w:rFonts w:ascii="Sakkal Majalla" w:eastAsia="Times New Roman" w:hAnsi="Sakkal Majalla" w:cs="Sakkal Majalla"/>
                <w:color w:val="0E101A"/>
                <w:sz w:val="32"/>
                <w:szCs w:val="32"/>
              </w:rPr>
              <w:t xml:space="preserve"> </w:t>
            </w:r>
            <w:proofErr w:type="gramStart"/>
            <w:r w:rsidRPr="00721892">
              <w:rPr>
                <w:rFonts w:ascii="Sakkal Majalla" w:eastAsia="Times New Roman" w:hAnsi="Sakkal Majalla" w:cs="Sakkal Majalla"/>
                <w:color w:val="0E101A"/>
                <w:sz w:val="32"/>
                <w:szCs w:val="32"/>
              </w:rPr>
              <w:t xml:space="preserve">CLEAR </w:t>
            </w:r>
            <w:r w:rsidR="002C6B71">
              <w:rPr>
                <w:rFonts w:ascii="Sakkal Majalla" w:eastAsia="Times New Roman" w:hAnsi="Sakkal Majalla" w:cs="Sakkal Majalla"/>
                <w:color w:val="0E101A"/>
                <w:sz w:val="32"/>
                <w:szCs w:val="32"/>
              </w:rPr>
              <w:t>.</w:t>
            </w:r>
            <w:proofErr w:type="gramEnd"/>
          </w:p>
          <w:p w14:paraId="7FB5F090" w14:textId="4E94510B" w:rsidR="00C4707F" w:rsidRPr="00EB6195" w:rsidRDefault="00EB6195" w:rsidP="00EB6195">
            <w:pPr>
              <w:spacing w:before="240" w:after="240"/>
              <w:jc w:val="both"/>
              <w:rPr>
                <w:rFonts w:ascii="Sakkal Majalla" w:hAnsi="Sakkal Majalla" w:cs="Sakkal Majalla"/>
                <w:sz w:val="32"/>
                <w:szCs w:val="32"/>
              </w:rPr>
            </w:pPr>
            <w:r w:rsidRPr="008977D1">
              <w:rPr>
                <w:rFonts w:ascii="Sakkal Majalla" w:eastAsia="Times New Roman" w:hAnsi="Sakkal Majalla" w:cs="Sakkal Majalla"/>
                <w:color w:val="0E101A"/>
                <w:sz w:val="32"/>
                <w:szCs w:val="32"/>
              </w:rPr>
              <w:t xml:space="preserve">IDSC faces </w:t>
            </w:r>
            <w:r w:rsidR="00B035BA">
              <w:rPr>
                <w:rFonts w:ascii="Sakkal Majalla" w:eastAsia="Times New Roman" w:hAnsi="Sakkal Majalla" w:cs="Sakkal Majalla"/>
                <w:color w:val="0E101A"/>
                <w:sz w:val="32"/>
                <w:szCs w:val="32"/>
              </w:rPr>
              <w:t>some</w:t>
            </w:r>
            <w:r w:rsidRPr="008977D1">
              <w:rPr>
                <w:rFonts w:ascii="Sakkal Majalla" w:eastAsia="Times New Roman" w:hAnsi="Sakkal Majalla" w:cs="Sakkal Majalla"/>
                <w:color w:val="0E101A"/>
                <w:sz w:val="32"/>
                <w:szCs w:val="32"/>
              </w:rPr>
              <w:t xml:space="preserve"> challenges in conducting an impact assessment of national strategies due to the need to adopt reliable scientific methodologies, </w:t>
            </w:r>
            <w:r w:rsidR="00E837C3">
              <w:rPr>
                <w:rFonts w:ascii="Sakkal Majalla" w:eastAsia="Times New Roman" w:hAnsi="Sakkal Majalla" w:cs="Sakkal Majalla"/>
                <w:color w:val="0E101A"/>
                <w:sz w:val="32"/>
                <w:szCs w:val="32"/>
              </w:rPr>
              <w:t>&amp;</w:t>
            </w:r>
            <w:r w:rsidRPr="008977D1">
              <w:rPr>
                <w:rFonts w:ascii="Sakkal Majalla" w:eastAsia="Times New Roman" w:hAnsi="Sakkal Majalla" w:cs="Sakkal Majalla"/>
                <w:color w:val="0E101A"/>
                <w:sz w:val="32"/>
                <w:szCs w:val="32"/>
              </w:rPr>
              <w:t xml:space="preserve"> the limited practical applications for impact </w:t>
            </w:r>
            <w:r w:rsidRPr="008977D1">
              <w:rPr>
                <w:rFonts w:ascii="Sakkal Majalla" w:eastAsia="Times New Roman" w:hAnsi="Sakkal Majalla" w:cs="Sakkal Majalla"/>
                <w:color w:val="0E101A"/>
                <w:sz w:val="32"/>
                <w:szCs w:val="32"/>
              </w:rPr>
              <w:lastRenderedPageBreak/>
              <w:t xml:space="preserve">assessment despite the wide demand at the high policy level </w:t>
            </w:r>
            <w:r w:rsidR="00E837C3">
              <w:rPr>
                <w:rFonts w:ascii="Sakkal Majalla" w:eastAsia="Times New Roman" w:hAnsi="Sakkal Majalla" w:cs="Sakkal Majalla"/>
                <w:color w:val="0E101A"/>
                <w:sz w:val="32"/>
                <w:szCs w:val="32"/>
              </w:rPr>
              <w:t>&amp;</w:t>
            </w:r>
            <w:r w:rsidRPr="008977D1">
              <w:rPr>
                <w:rFonts w:ascii="Sakkal Majalla" w:eastAsia="Times New Roman" w:hAnsi="Sakkal Majalla" w:cs="Sakkal Majalla"/>
                <w:color w:val="0E101A"/>
                <w:sz w:val="32"/>
                <w:szCs w:val="32"/>
              </w:rPr>
              <w:t xml:space="preserve"> from </w:t>
            </w:r>
            <w:proofErr w:type="gramStart"/>
            <w:r w:rsidRPr="008977D1">
              <w:rPr>
                <w:rFonts w:ascii="Sakkal Majalla" w:eastAsia="Times New Roman" w:hAnsi="Sakkal Majalla" w:cs="Sakkal Majalla"/>
                <w:color w:val="0E101A"/>
                <w:sz w:val="32"/>
                <w:szCs w:val="32"/>
              </w:rPr>
              <w:t>various  government</w:t>
            </w:r>
            <w:proofErr w:type="gramEnd"/>
            <w:r w:rsidRPr="008977D1">
              <w:rPr>
                <w:rFonts w:ascii="Sakkal Majalla" w:eastAsia="Times New Roman" w:hAnsi="Sakkal Majalla" w:cs="Sakkal Majalla"/>
                <w:color w:val="0E101A"/>
                <w:sz w:val="32"/>
                <w:szCs w:val="32"/>
              </w:rPr>
              <w:t xml:space="preserve"> agencies. </w:t>
            </w:r>
            <w:proofErr w:type="gramStart"/>
            <w:r w:rsidR="00E837C3">
              <w:rPr>
                <w:rFonts w:ascii="Sakkal Majalla" w:eastAsia="Times New Roman" w:hAnsi="Sakkal Majalla" w:cs="Sakkal Majalla"/>
                <w:color w:val="0E101A"/>
                <w:sz w:val="32"/>
                <w:szCs w:val="32"/>
              </w:rPr>
              <w:t>Also</w:t>
            </w:r>
            <w:proofErr w:type="gramEnd"/>
            <w:r w:rsidR="00E837C3">
              <w:rPr>
                <w:rFonts w:ascii="Sakkal Majalla" w:eastAsia="Times New Roman" w:hAnsi="Sakkal Majalla" w:cs="Sakkal Majalla"/>
                <w:color w:val="0E101A"/>
                <w:sz w:val="32"/>
                <w:szCs w:val="32"/>
              </w:rPr>
              <w:t xml:space="preserve"> </w:t>
            </w:r>
            <w:r w:rsidRPr="008977D1">
              <w:rPr>
                <w:rFonts w:ascii="Sakkal Majalla" w:eastAsia="Times New Roman" w:hAnsi="Sakkal Majalla" w:cs="Sakkal Majalla"/>
                <w:color w:val="0E101A"/>
                <w:sz w:val="32"/>
                <w:szCs w:val="32"/>
              </w:rPr>
              <w:t xml:space="preserve">the lack of financial and human resources poses a significant challenge to obtaining comprehensive </w:t>
            </w:r>
            <w:r w:rsidR="0085438B">
              <w:rPr>
                <w:rFonts w:ascii="Sakkal Majalla" w:eastAsia="Times New Roman" w:hAnsi="Sakkal Majalla" w:cs="Sakkal Majalla"/>
                <w:color w:val="0E101A"/>
                <w:sz w:val="32"/>
                <w:szCs w:val="32"/>
              </w:rPr>
              <w:t>&amp;</w:t>
            </w:r>
            <w:r w:rsidRPr="008977D1">
              <w:rPr>
                <w:rFonts w:ascii="Sakkal Majalla" w:eastAsia="Times New Roman" w:hAnsi="Sakkal Majalla" w:cs="Sakkal Majalla"/>
                <w:color w:val="0E101A"/>
                <w:sz w:val="32"/>
                <w:szCs w:val="32"/>
              </w:rPr>
              <w:t xml:space="preserve"> reliable evaluation outputs</w:t>
            </w:r>
          </w:p>
          <w:p w14:paraId="40A36E6C" w14:textId="77777777" w:rsidR="00C4707F" w:rsidRDefault="00C4707F" w:rsidP="00C4707F">
            <w:pPr>
              <w:rPr>
                <w:rFonts w:cstheme="minorHAnsi"/>
              </w:rPr>
            </w:pPr>
          </w:p>
          <w:p w14:paraId="3DD58BF3" w14:textId="77777777" w:rsidR="00C4707F" w:rsidRDefault="00C4707F" w:rsidP="00C4707F">
            <w:pPr>
              <w:rPr>
                <w:rFonts w:cstheme="minorHAnsi"/>
              </w:rPr>
            </w:pPr>
          </w:p>
          <w:p w14:paraId="34A02FD9" w14:textId="77777777" w:rsidR="00C4707F" w:rsidRDefault="00C4707F" w:rsidP="00C4707F">
            <w:pPr>
              <w:rPr>
                <w:rFonts w:cstheme="minorHAnsi"/>
              </w:rPr>
            </w:pPr>
          </w:p>
          <w:p w14:paraId="175F167C" w14:textId="77777777" w:rsidR="00C4707F" w:rsidRDefault="00C4707F" w:rsidP="00C4707F">
            <w:pPr>
              <w:ind w:left="0"/>
              <w:rPr>
                <w:rFonts w:cstheme="minorHAnsi"/>
              </w:rPr>
            </w:pPr>
          </w:p>
        </w:tc>
      </w:tr>
    </w:tbl>
    <w:p w14:paraId="4D0C7F26" w14:textId="42C050D8" w:rsidR="00B213A7" w:rsidRPr="00B213A7" w:rsidRDefault="00B213A7" w:rsidP="00C4707F">
      <w:pPr>
        <w:rPr>
          <w:rFonts w:cstheme="minorHAnsi"/>
        </w:rPr>
      </w:pPr>
    </w:p>
    <w:sectPr w:rsidR="00B213A7" w:rsidRPr="00B213A7" w:rsidSect="00E7518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DC15" w14:textId="77777777" w:rsidR="000C3090" w:rsidRDefault="000C3090" w:rsidP="00D2741A">
      <w:pPr>
        <w:spacing w:after="0" w:line="240" w:lineRule="auto"/>
      </w:pPr>
      <w:r>
        <w:separator/>
      </w:r>
    </w:p>
  </w:endnote>
  <w:endnote w:type="continuationSeparator" w:id="0">
    <w:p w14:paraId="65C72E8A" w14:textId="77777777" w:rsidR="000C3090" w:rsidRDefault="000C3090" w:rsidP="00D2741A">
      <w:pPr>
        <w:spacing w:after="0" w:line="240" w:lineRule="auto"/>
      </w:pPr>
      <w:r>
        <w:continuationSeparator/>
      </w:r>
    </w:p>
  </w:endnote>
  <w:endnote w:type="continuationNotice" w:id="1">
    <w:p w14:paraId="3BD9C791" w14:textId="77777777" w:rsidR="000C3090" w:rsidRDefault="000C3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5302" w14:textId="77777777" w:rsidR="000C3090" w:rsidRDefault="000C3090" w:rsidP="00D2741A">
      <w:pPr>
        <w:spacing w:after="0" w:line="240" w:lineRule="auto"/>
      </w:pPr>
      <w:r>
        <w:separator/>
      </w:r>
    </w:p>
  </w:footnote>
  <w:footnote w:type="continuationSeparator" w:id="0">
    <w:p w14:paraId="2439C3BA" w14:textId="77777777" w:rsidR="000C3090" w:rsidRDefault="000C3090" w:rsidP="00D2741A">
      <w:pPr>
        <w:spacing w:after="0" w:line="240" w:lineRule="auto"/>
      </w:pPr>
      <w:r>
        <w:continuationSeparator/>
      </w:r>
    </w:p>
  </w:footnote>
  <w:footnote w:type="continuationNotice" w:id="1">
    <w:p w14:paraId="15619855" w14:textId="77777777" w:rsidR="000C3090" w:rsidRDefault="000C30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2547"/>
    <w:multiLevelType w:val="multilevel"/>
    <w:tmpl w:val="01489D3E"/>
    <w:lvl w:ilvl="0">
      <w:start w:val="1"/>
      <w:numFmt w:val="decimal"/>
      <w:lvlText w:val="%1."/>
      <w:lvlJc w:val="left"/>
      <w:pPr>
        <w:tabs>
          <w:tab w:val="num" w:pos="720"/>
        </w:tabs>
        <w:ind w:left="720" w:hanging="360"/>
      </w:pPr>
    </w:lvl>
    <w:lvl w:ilvl="1">
      <w:start w:val="5"/>
      <w:numFmt w:val="bullet"/>
      <w:lvlText w:val="-"/>
      <w:lvlJc w:val="left"/>
      <w:pPr>
        <w:ind w:left="2265" w:hanging="1185"/>
      </w:pPr>
      <w:rPr>
        <w:rFonts w:ascii="Sakkal Majalla" w:eastAsia="Times New Roman" w:hAnsi="Sakkal Majalla" w:cs="Sakkal Majall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B792C"/>
    <w:multiLevelType w:val="hybridMultilevel"/>
    <w:tmpl w:val="E5466BC4"/>
    <w:lvl w:ilvl="0" w:tplc="824AE9FC">
      <w:start w:val="5"/>
      <w:numFmt w:val="bullet"/>
      <w:lvlText w:val="-"/>
      <w:lvlJc w:val="left"/>
      <w:pPr>
        <w:ind w:left="720" w:hanging="360"/>
      </w:pPr>
      <w:rPr>
        <w:rFonts w:ascii="Sakkal Majalla" w:eastAsiaTheme="minorHAnsi" w:hAnsi="Sakkal Majalla" w:cs="Sakkal Majalla" w:hint="default"/>
      </w:rPr>
    </w:lvl>
    <w:lvl w:ilvl="1" w:tplc="824AE9FC">
      <w:start w:val="5"/>
      <w:numFmt w:val="bullet"/>
      <w:lvlText w:val="-"/>
      <w:lvlJc w:val="left"/>
      <w:pPr>
        <w:ind w:left="1440" w:hanging="360"/>
      </w:pPr>
      <w:rPr>
        <w:rFonts w:ascii="Sakkal Majalla" w:eastAsiaTheme="minorHAnsi"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9"/>
  </w:num>
  <w:num w:numId="2" w16cid:durableId="996300797">
    <w:abstractNumId w:val="5"/>
  </w:num>
  <w:num w:numId="3" w16cid:durableId="1259020431">
    <w:abstractNumId w:val="10"/>
  </w:num>
  <w:num w:numId="4" w16cid:durableId="1620917201">
    <w:abstractNumId w:val="14"/>
  </w:num>
  <w:num w:numId="5" w16cid:durableId="873470581">
    <w:abstractNumId w:val="4"/>
  </w:num>
  <w:num w:numId="6" w16cid:durableId="1793284354">
    <w:abstractNumId w:val="12"/>
  </w:num>
  <w:num w:numId="7" w16cid:durableId="246155892">
    <w:abstractNumId w:val="6"/>
  </w:num>
  <w:num w:numId="8" w16cid:durableId="1606843836">
    <w:abstractNumId w:val="8"/>
  </w:num>
  <w:num w:numId="9" w16cid:durableId="1746680057">
    <w:abstractNumId w:val="11"/>
  </w:num>
  <w:num w:numId="10" w16cid:durableId="1913348281">
    <w:abstractNumId w:val="13"/>
  </w:num>
  <w:num w:numId="11" w16cid:durableId="1346134980">
    <w:abstractNumId w:val="7"/>
  </w:num>
  <w:num w:numId="12" w16cid:durableId="632173441">
    <w:abstractNumId w:val="3"/>
  </w:num>
  <w:num w:numId="13" w16cid:durableId="200022432">
    <w:abstractNumId w:val="0"/>
  </w:num>
  <w:num w:numId="14" w16cid:durableId="647593287">
    <w:abstractNumId w:val="1"/>
  </w:num>
  <w:num w:numId="15" w16cid:durableId="167144334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B6992"/>
    <w:rsid w:val="000C2C2A"/>
    <w:rsid w:val="000C2DD5"/>
    <w:rsid w:val="000C3090"/>
    <w:rsid w:val="000C55E6"/>
    <w:rsid w:val="000C738E"/>
    <w:rsid w:val="000C7DEE"/>
    <w:rsid w:val="000C7F61"/>
    <w:rsid w:val="000D0E0B"/>
    <w:rsid w:val="000D11CE"/>
    <w:rsid w:val="000D1B05"/>
    <w:rsid w:val="000D3796"/>
    <w:rsid w:val="000D4E32"/>
    <w:rsid w:val="000D5E83"/>
    <w:rsid w:val="000D71D9"/>
    <w:rsid w:val="000E04CB"/>
    <w:rsid w:val="000E07DF"/>
    <w:rsid w:val="000E131C"/>
    <w:rsid w:val="000E2502"/>
    <w:rsid w:val="000E332D"/>
    <w:rsid w:val="000E5083"/>
    <w:rsid w:val="000E55AE"/>
    <w:rsid w:val="000E73E7"/>
    <w:rsid w:val="000F171F"/>
    <w:rsid w:val="000F2BF4"/>
    <w:rsid w:val="000F4456"/>
    <w:rsid w:val="000F6524"/>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64CC"/>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0D6F"/>
    <w:rsid w:val="002B1641"/>
    <w:rsid w:val="002B4CF4"/>
    <w:rsid w:val="002B4FB3"/>
    <w:rsid w:val="002B5999"/>
    <w:rsid w:val="002B5ED8"/>
    <w:rsid w:val="002B7481"/>
    <w:rsid w:val="002B7D03"/>
    <w:rsid w:val="002C0D36"/>
    <w:rsid w:val="002C3257"/>
    <w:rsid w:val="002C41A3"/>
    <w:rsid w:val="002C439B"/>
    <w:rsid w:val="002C439D"/>
    <w:rsid w:val="002C68E7"/>
    <w:rsid w:val="002C6B71"/>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474B5"/>
    <w:rsid w:val="0035055D"/>
    <w:rsid w:val="00352D22"/>
    <w:rsid w:val="00361112"/>
    <w:rsid w:val="00362F45"/>
    <w:rsid w:val="00364998"/>
    <w:rsid w:val="00364D02"/>
    <w:rsid w:val="0036759D"/>
    <w:rsid w:val="00367667"/>
    <w:rsid w:val="00367AFA"/>
    <w:rsid w:val="00367F9B"/>
    <w:rsid w:val="00370C59"/>
    <w:rsid w:val="0037249A"/>
    <w:rsid w:val="0037331D"/>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3D35"/>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3A30"/>
    <w:rsid w:val="0046524F"/>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C3BBB"/>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13DA"/>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56B"/>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E6A7C"/>
    <w:rsid w:val="005F4ACD"/>
    <w:rsid w:val="005F6769"/>
    <w:rsid w:val="005F7FEA"/>
    <w:rsid w:val="006002DC"/>
    <w:rsid w:val="00603C50"/>
    <w:rsid w:val="006040E5"/>
    <w:rsid w:val="00604DD8"/>
    <w:rsid w:val="006058AE"/>
    <w:rsid w:val="006061FA"/>
    <w:rsid w:val="006068D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6B5"/>
    <w:rsid w:val="00662845"/>
    <w:rsid w:val="0066284B"/>
    <w:rsid w:val="00664779"/>
    <w:rsid w:val="00673FF4"/>
    <w:rsid w:val="00682400"/>
    <w:rsid w:val="00683121"/>
    <w:rsid w:val="006857C4"/>
    <w:rsid w:val="00691A98"/>
    <w:rsid w:val="00694BDC"/>
    <w:rsid w:val="00695171"/>
    <w:rsid w:val="006A2FD7"/>
    <w:rsid w:val="006A32A8"/>
    <w:rsid w:val="006B0DC3"/>
    <w:rsid w:val="006B13AC"/>
    <w:rsid w:val="006B4CAB"/>
    <w:rsid w:val="006C0D78"/>
    <w:rsid w:val="006C2BB9"/>
    <w:rsid w:val="006C623F"/>
    <w:rsid w:val="006C77B0"/>
    <w:rsid w:val="006C7C82"/>
    <w:rsid w:val="006D3609"/>
    <w:rsid w:val="006D3E6D"/>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1BEE"/>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8722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1C1"/>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38B"/>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91FA0"/>
    <w:rsid w:val="00895E9F"/>
    <w:rsid w:val="008975BD"/>
    <w:rsid w:val="00897780"/>
    <w:rsid w:val="008A1FD3"/>
    <w:rsid w:val="008A27A4"/>
    <w:rsid w:val="008A36E3"/>
    <w:rsid w:val="008A3E1E"/>
    <w:rsid w:val="008A6B16"/>
    <w:rsid w:val="008A7D45"/>
    <w:rsid w:val="008B0EEF"/>
    <w:rsid w:val="008B27CC"/>
    <w:rsid w:val="008B3297"/>
    <w:rsid w:val="008B6773"/>
    <w:rsid w:val="008C0E55"/>
    <w:rsid w:val="008C163F"/>
    <w:rsid w:val="008C1DBB"/>
    <w:rsid w:val="008C2A47"/>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3A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27B5"/>
    <w:rsid w:val="00AE3B34"/>
    <w:rsid w:val="00AE5A9C"/>
    <w:rsid w:val="00AE696A"/>
    <w:rsid w:val="00AE6FC4"/>
    <w:rsid w:val="00AF0746"/>
    <w:rsid w:val="00AF3792"/>
    <w:rsid w:val="00AF37AA"/>
    <w:rsid w:val="00AF3E75"/>
    <w:rsid w:val="00AF649A"/>
    <w:rsid w:val="00AF75A0"/>
    <w:rsid w:val="00B01C3B"/>
    <w:rsid w:val="00B035BA"/>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1E4C"/>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699A"/>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59FD"/>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623"/>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7C3"/>
    <w:rsid w:val="00E83B41"/>
    <w:rsid w:val="00E85862"/>
    <w:rsid w:val="00E92C7E"/>
    <w:rsid w:val="00E934B8"/>
    <w:rsid w:val="00E961B8"/>
    <w:rsid w:val="00E97D56"/>
    <w:rsid w:val="00EA0A7E"/>
    <w:rsid w:val="00EA2DF5"/>
    <w:rsid w:val="00EA39C7"/>
    <w:rsid w:val="00EA3C25"/>
    <w:rsid w:val="00EA4740"/>
    <w:rsid w:val="00EA497F"/>
    <w:rsid w:val="00EB28C1"/>
    <w:rsid w:val="00EB3A52"/>
    <w:rsid w:val="00EB4CC7"/>
    <w:rsid w:val="00EB5B9E"/>
    <w:rsid w:val="00EB6195"/>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1A46"/>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F5E68305-B68F-49CC-BA37-9E61D60B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60638181">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330454942">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2.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3.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4.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509</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Amira Abdel Latif</cp:lastModifiedBy>
  <cp:revision>33</cp:revision>
  <cp:lastPrinted>2022-03-10T18:45:00Z</cp:lastPrinted>
  <dcterms:created xsi:type="dcterms:W3CDTF">2024-07-12T07:44:00Z</dcterms:created>
  <dcterms:modified xsi:type="dcterms:W3CDTF">2024-07-12T08:08:00Z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