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649666"/>
    <w:p w14:paraId="3385B10F" w14:textId="77777777" w:rsidR="00E157EC" w:rsidRPr="00E157EC" w:rsidRDefault="00364998" w:rsidP="00E157EC">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545A4D5" wp14:editId="2BD14A29">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4B88F0C6"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" fillcolor="white [3201]" strokecolor="#13a8d2" strokeweight="1.5pt">
                <v:textbox>
                  <w:txbxContent>
                    <w:p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2AE66CBC" w14:textId="77777777"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0F37FC7D" w14:textId="77777777" w:rsidTr="002177CD">
        <w:trPr>
          <w:trHeight w:val="296"/>
        </w:trPr>
        <w:tc>
          <w:tcPr>
            <w:tcW w:w="4748" w:type="dxa"/>
          </w:tcPr>
          <w:p w14:paraId="64E62B6E"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6D1D1192" w14:textId="7F2B0BE9" w:rsidR="009368D6" w:rsidRPr="009D0066" w:rsidRDefault="001A490B" w:rsidP="002177CD">
            <w:pPr>
              <w:spacing w:after="120"/>
              <w:contextualSpacing/>
              <w:jc w:val="both"/>
              <w:rPr>
                <w:rFonts w:cstheme="minorHAnsi"/>
              </w:rPr>
            </w:pPr>
            <w:r>
              <w:rPr>
                <w:rFonts w:cstheme="minorHAnsi"/>
              </w:rPr>
              <w:t>Dr. Gamil Helmy</w:t>
            </w:r>
            <w:r w:rsidR="00DF3BAC">
              <w:rPr>
                <w:rFonts w:cstheme="minorHAnsi"/>
              </w:rPr>
              <w:t xml:space="preserve">  </w:t>
            </w:r>
          </w:p>
        </w:tc>
      </w:tr>
      <w:tr w:rsidR="009368D6" w:rsidRPr="009D0066" w14:paraId="616686AF" w14:textId="77777777" w:rsidTr="002177CD">
        <w:trPr>
          <w:trHeight w:val="282"/>
        </w:trPr>
        <w:tc>
          <w:tcPr>
            <w:tcW w:w="4748" w:type="dxa"/>
          </w:tcPr>
          <w:p w14:paraId="71DDF0FE"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6A733935" w14:textId="77777777" w:rsidR="009368D6" w:rsidRPr="009D0066" w:rsidRDefault="004D6C16" w:rsidP="002177CD">
            <w:pPr>
              <w:spacing w:after="120"/>
              <w:contextualSpacing/>
              <w:jc w:val="both"/>
              <w:rPr>
                <w:rFonts w:cstheme="minorHAnsi"/>
              </w:rPr>
            </w:pPr>
            <w:r>
              <w:rPr>
                <w:rFonts w:cstheme="minorHAnsi"/>
              </w:rPr>
              <w:t xml:space="preserve">Egyptian </w:t>
            </w:r>
          </w:p>
        </w:tc>
      </w:tr>
      <w:tr w:rsidR="008350D6" w:rsidRPr="009D0066" w14:paraId="27440DEA" w14:textId="77777777" w:rsidTr="002177CD">
        <w:trPr>
          <w:trHeight w:val="282"/>
        </w:trPr>
        <w:tc>
          <w:tcPr>
            <w:tcW w:w="4748" w:type="dxa"/>
          </w:tcPr>
          <w:p w14:paraId="3549DF03" w14:textId="77777777" w:rsidR="008350D6" w:rsidRDefault="008350D6" w:rsidP="002177CD">
            <w:pPr>
              <w:spacing w:after="120"/>
              <w:contextualSpacing/>
              <w:jc w:val="both"/>
              <w:rPr>
                <w:rFonts w:cstheme="minorHAnsi"/>
              </w:rPr>
            </w:pPr>
            <w:r>
              <w:rPr>
                <w:rFonts w:cstheme="minorHAnsi"/>
              </w:rPr>
              <w:t>Gender</w:t>
            </w:r>
          </w:p>
        </w:tc>
        <w:tc>
          <w:tcPr>
            <w:tcW w:w="5327" w:type="dxa"/>
          </w:tcPr>
          <w:p w14:paraId="6DFD3E18" w14:textId="4CED4C46" w:rsidR="008350D6" w:rsidRPr="009D0066" w:rsidRDefault="001A490B" w:rsidP="002177CD">
            <w:pPr>
              <w:spacing w:after="120"/>
              <w:contextualSpacing/>
              <w:jc w:val="both"/>
              <w:rPr>
                <w:rFonts w:cstheme="minorHAnsi"/>
              </w:rPr>
            </w:pPr>
            <w:r>
              <w:rPr>
                <w:rFonts w:cstheme="minorHAnsi"/>
              </w:rPr>
              <w:t>Male</w:t>
            </w:r>
            <w:r w:rsidR="004D6C16">
              <w:rPr>
                <w:rFonts w:cstheme="minorHAnsi"/>
              </w:rPr>
              <w:t xml:space="preserve"> </w:t>
            </w:r>
          </w:p>
        </w:tc>
      </w:tr>
      <w:tr w:rsidR="009368D6" w:rsidRPr="009D0066" w14:paraId="72831854" w14:textId="77777777" w:rsidTr="002177CD">
        <w:trPr>
          <w:trHeight w:val="282"/>
        </w:trPr>
        <w:tc>
          <w:tcPr>
            <w:tcW w:w="4748" w:type="dxa"/>
          </w:tcPr>
          <w:p w14:paraId="78D692C3"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5AC92AFD" w14:textId="77777777" w:rsidR="009368D6" w:rsidRPr="009D0066" w:rsidRDefault="004D6C16" w:rsidP="002177CD">
            <w:pPr>
              <w:spacing w:after="120"/>
              <w:contextualSpacing/>
              <w:jc w:val="both"/>
              <w:rPr>
                <w:rFonts w:cstheme="minorHAnsi"/>
              </w:rPr>
            </w:pPr>
            <w:r>
              <w:rPr>
                <w:rFonts w:cstheme="minorHAnsi"/>
              </w:rPr>
              <w:t xml:space="preserve">Egypt </w:t>
            </w:r>
          </w:p>
        </w:tc>
      </w:tr>
      <w:tr w:rsidR="009368D6" w:rsidRPr="009D0066" w14:paraId="5E6DCA60" w14:textId="77777777" w:rsidTr="002177CD">
        <w:trPr>
          <w:trHeight w:val="282"/>
        </w:trPr>
        <w:tc>
          <w:tcPr>
            <w:tcW w:w="4748" w:type="dxa"/>
          </w:tcPr>
          <w:p w14:paraId="2A49485A"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586965A8" w14:textId="77777777" w:rsidR="009368D6" w:rsidRPr="009D0066" w:rsidRDefault="004D6C16" w:rsidP="002177CD">
            <w:pPr>
              <w:spacing w:after="120"/>
              <w:contextualSpacing/>
              <w:jc w:val="both"/>
              <w:rPr>
                <w:rFonts w:cstheme="minorHAnsi"/>
              </w:rPr>
            </w:pPr>
            <w:r>
              <w:rPr>
                <w:rFonts w:cstheme="minorHAnsi"/>
              </w:rPr>
              <w:t>Ministry of Planning and Economic Development (MPED)</w:t>
            </w:r>
          </w:p>
        </w:tc>
      </w:tr>
      <w:tr w:rsidR="009368D6" w:rsidRPr="009D0066" w14:paraId="1571F0FA" w14:textId="77777777" w:rsidTr="002177CD">
        <w:trPr>
          <w:trHeight w:val="282"/>
        </w:trPr>
        <w:tc>
          <w:tcPr>
            <w:tcW w:w="4748" w:type="dxa"/>
          </w:tcPr>
          <w:p w14:paraId="34F9B7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6B0AB8F5" w14:textId="06456276" w:rsidR="009368D6" w:rsidRDefault="004D6C16" w:rsidP="002177CD">
            <w:pPr>
              <w:spacing w:after="120"/>
              <w:contextualSpacing/>
              <w:jc w:val="both"/>
              <w:rPr>
                <w:rFonts w:cstheme="minorHAnsi"/>
              </w:rPr>
            </w:pPr>
            <w:r>
              <w:rPr>
                <w:rFonts w:cstheme="minorHAnsi"/>
              </w:rPr>
              <w:t xml:space="preserve">Email: </w:t>
            </w:r>
            <w:r w:rsidR="001A490B">
              <w:rPr>
                <w:rFonts w:cstheme="minorHAnsi"/>
              </w:rPr>
              <w:t>Gamel.helmy@mped.gov.eg</w:t>
            </w:r>
          </w:p>
          <w:p w14:paraId="15666D0B" w14:textId="5D3B8E20" w:rsidR="004D6C16" w:rsidRPr="009D0066" w:rsidRDefault="004D6C16" w:rsidP="002177CD">
            <w:pPr>
              <w:spacing w:after="120"/>
              <w:contextualSpacing/>
              <w:jc w:val="both"/>
              <w:rPr>
                <w:rFonts w:cstheme="minorHAnsi"/>
              </w:rPr>
            </w:pPr>
            <w:r>
              <w:rPr>
                <w:rFonts w:cstheme="minorHAnsi"/>
              </w:rPr>
              <w:t>Mobile: (</w:t>
            </w:r>
            <w:r w:rsidR="00D83BB7">
              <w:rPr>
                <w:rFonts w:cstheme="minorHAnsi"/>
              </w:rPr>
              <w:t>+</w:t>
            </w:r>
            <w:r>
              <w:rPr>
                <w:rFonts w:cstheme="minorHAnsi"/>
              </w:rPr>
              <w:t>202)</w:t>
            </w:r>
            <w:r w:rsidR="001A490B">
              <w:rPr>
                <w:rFonts w:cstheme="minorHAnsi"/>
              </w:rPr>
              <w:t>01067803863</w:t>
            </w:r>
          </w:p>
        </w:tc>
      </w:tr>
      <w:tr w:rsidR="009368D6" w:rsidRPr="009D0066" w14:paraId="0A9A3BE9" w14:textId="77777777" w:rsidTr="002177CD">
        <w:trPr>
          <w:trHeight w:val="282"/>
        </w:trPr>
        <w:tc>
          <w:tcPr>
            <w:tcW w:w="4748" w:type="dxa"/>
          </w:tcPr>
          <w:p w14:paraId="4F366037"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7415FD10" w14:textId="3513863C" w:rsidR="009368D6" w:rsidRPr="009D0066" w:rsidRDefault="001A490B" w:rsidP="001A490B">
            <w:pPr>
              <w:spacing w:after="120"/>
              <w:contextualSpacing/>
              <w:jc w:val="both"/>
              <w:rPr>
                <w:rFonts w:cstheme="minorHAnsi"/>
              </w:rPr>
            </w:pPr>
            <w:r w:rsidRPr="001A490B">
              <w:rPr>
                <w:rFonts w:cstheme="minorHAnsi"/>
              </w:rPr>
              <w:t>Application of Program and Performance Budgeting and Planning as an Approach to Developing Monitoring and Evaluation Systems in Egypt</w:t>
            </w:r>
          </w:p>
        </w:tc>
      </w:tr>
      <w:tr w:rsidR="009368D6" w:rsidRPr="009D0066" w14:paraId="385DA558" w14:textId="77777777" w:rsidTr="002177CD">
        <w:trPr>
          <w:trHeight w:val="282"/>
        </w:trPr>
        <w:tc>
          <w:tcPr>
            <w:tcW w:w="4748" w:type="dxa"/>
          </w:tcPr>
          <w:p w14:paraId="59F91F1A"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38809840" w14:textId="029C86D5" w:rsidR="009368D6" w:rsidRPr="009D0066" w:rsidRDefault="009368D6" w:rsidP="00993845">
            <w:pPr>
              <w:spacing w:after="120"/>
              <w:contextualSpacing/>
              <w:rPr>
                <w:rFonts w:cstheme="minorHAnsi"/>
              </w:rPr>
            </w:pPr>
            <w:r>
              <w:rPr>
                <w:rFonts w:cstheme="minorHAnsi"/>
              </w:rPr>
              <w:t xml:space="preserve"> </w:t>
            </w:r>
          </w:p>
        </w:tc>
      </w:tr>
      <w:tr w:rsidR="009368D6" w:rsidRPr="009D0066" w14:paraId="5ECC6AE5" w14:textId="77777777" w:rsidTr="002177CD">
        <w:trPr>
          <w:trHeight w:val="282"/>
        </w:trPr>
        <w:tc>
          <w:tcPr>
            <w:tcW w:w="4748" w:type="dxa"/>
          </w:tcPr>
          <w:p w14:paraId="7B9CEF7E" w14:textId="77777777"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6928D6FC" w14:textId="2DCBE853" w:rsidR="00B823C1" w:rsidRPr="001A490B" w:rsidRDefault="00B823C1" w:rsidP="001A490B">
            <w:pPr>
              <w:spacing w:after="120"/>
              <w:ind w:left="0"/>
              <w:jc w:val="both"/>
              <w:rPr>
                <w:rFonts w:cstheme="minorHAnsi"/>
              </w:rPr>
            </w:pPr>
          </w:p>
        </w:tc>
      </w:tr>
      <w:tr w:rsidR="009368D6" w:rsidRPr="009D0066" w14:paraId="60A9A6A6" w14:textId="77777777" w:rsidTr="002177CD">
        <w:trPr>
          <w:trHeight w:val="282"/>
        </w:trPr>
        <w:tc>
          <w:tcPr>
            <w:tcW w:w="4748" w:type="dxa"/>
          </w:tcPr>
          <w:p w14:paraId="632DBBDD"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6C8D03F8" w14:textId="77777777" w:rsidR="009368D6" w:rsidRPr="009D0066" w:rsidRDefault="009368D6" w:rsidP="00797E83">
            <w:pPr>
              <w:pStyle w:val="CommentText"/>
              <w:ind w:left="0"/>
              <w:rPr>
                <w:rFonts w:cstheme="minorHAnsi"/>
                <w:sz w:val="22"/>
                <w:szCs w:val="22"/>
              </w:rPr>
            </w:pPr>
            <w:r w:rsidRPr="001A490B">
              <w:rPr>
                <w:rFonts w:cstheme="minorHAnsi"/>
                <w:sz w:val="22"/>
                <w:szCs w:val="22"/>
                <w:shd w:val="clear" w:color="auto" w:fill="FF0000"/>
              </w:rPr>
              <w:t>□</w:t>
            </w:r>
            <w:r w:rsidRPr="009D0066">
              <w:rPr>
                <w:rFonts w:cstheme="minorHAnsi"/>
                <w:sz w:val="22"/>
                <w:szCs w:val="22"/>
              </w:rPr>
              <w:t xml:space="preserve">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78DE3681" w14:textId="77777777" w:rsidR="009368D6" w:rsidRPr="009D0066" w:rsidRDefault="009368D6" w:rsidP="00797E83">
            <w:pPr>
              <w:pStyle w:val="CommentText"/>
              <w:ind w:left="179" w:hanging="179"/>
              <w:rPr>
                <w:rFonts w:cstheme="minorHAnsi"/>
                <w:sz w:val="22"/>
                <w:szCs w:val="22"/>
              </w:rPr>
            </w:pPr>
            <w:r w:rsidRPr="001A490B">
              <w:rPr>
                <w:rFonts w:cstheme="minorHAnsi"/>
                <w:sz w:val="22"/>
                <w:szCs w:val="22"/>
                <w:shd w:val="clear" w:color="auto" w:fill="FF0000"/>
              </w:rPr>
              <w:t>□</w:t>
            </w:r>
            <w:r w:rsidRPr="009D0066">
              <w:rPr>
                <w:rFonts w:cstheme="minorHAnsi"/>
                <w:sz w:val="22"/>
                <w:szCs w:val="22"/>
              </w:rPr>
              <w:t xml:space="preserve"> Participation in a panel discussion where the experience can be shared</w:t>
            </w:r>
          </w:p>
          <w:p w14:paraId="7FDDE4FA"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7EA63D3B"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4A880EB9"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414039B0" w14:textId="77777777" w:rsidTr="002177CD">
        <w:trPr>
          <w:trHeight w:val="282"/>
        </w:trPr>
        <w:tc>
          <w:tcPr>
            <w:tcW w:w="4748" w:type="dxa"/>
          </w:tcPr>
          <w:p w14:paraId="676B072B" w14:textId="77777777"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0FFEE6CC" w14:textId="77777777" w:rsidR="009368D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Yes</w:t>
            </w:r>
          </w:p>
          <w:p w14:paraId="40E8E259" w14:textId="77777777" w:rsidR="009368D6" w:rsidRPr="009D0066" w:rsidRDefault="009368D6" w:rsidP="002177CD">
            <w:pPr>
              <w:pStyle w:val="CommentText"/>
              <w:rPr>
                <w:rFonts w:cstheme="minorHAnsi"/>
                <w:sz w:val="22"/>
                <w:szCs w:val="22"/>
              </w:rPr>
            </w:pPr>
            <w:r w:rsidRPr="004D6C16">
              <w:rPr>
                <w:rFonts w:cstheme="minorHAnsi"/>
                <w:sz w:val="22"/>
                <w:szCs w:val="22"/>
                <w:shd w:val="clear" w:color="auto" w:fill="FF0000"/>
              </w:rPr>
              <w:t>□</w:t>
            </w:r>
            <w:r>
              <w:rPr>
                <w:rFonts w:cstheme="minorHAnsi"/>
                <w:sz w:val="22"/>
                <w:szCs w:val="22"/>
              </w:rPr>
              <w:t xml:space="preserve"> No</w:t>
            </w:r>
          </w:p>
        </w:tc>
      </w:tr>
      <w:tr w:rsidR="009368D6" w:rsidRPr="009D0066" w14:paraId="331021DA" w14:textId="77777777" w:rsidTr="002177CD">
        <w:trPr>
          <w:trHeight w:val="282"/>
        </w:trPr>
        <w:tc>
          <w:tcPr>
            <w:tcW w:w="4748" w:type="dxa"/>
          </w:tcPr>
          <w:p w14:paraId="57F1E81B" w14:textId="7777777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76624579" w14:textId="77777777" w:rsidR="009368D6" w:rsidRPr="009D0066" w:rsidRDefault="009368D6" w:rsidP="002177CD">
            <w:pPr>
              <w:pStyle w:val="CommentText"/>
              <w:rPr>
                <w:rFonts w:cstheme="minorHAnsi"/>
                <w:sz w:val="22"/>
                <w:szCs w:val="22"/>
              </w:rPr>
            </w:pPr>
            <w:r w:rsidRPr="004D6C16">
              <w:rPr>
                <w:rFonts w:cstheme="minorHAnsi"/>
                <w:sz w:val="22"/>
                <w:szCs w:val="22"/>
                <w:shd w:val="clear" w:color="auto" w:fill="FF0000"/>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0CEF7B72" w14:textId="77777777" w:rsidR="0014501D" w:rsidRDefault="0014501D" w:rsidP="00A018CE">
      <w:pPr>
        <w:rPr>
          <w:b/>
          <w:bCs/>
        </w:rPr>
      </w:pPr>
    </w:p>
    <w:p w14:paraId="5A5F7052" w14:textId="77777777" w:rsidR="0014501D" w:rsidRDefault="0014501D" w:rsidP="00A018CE">
      <w:pPr>
        <w:rPr>
          <w:b/>
          <w:bCs/>
        </w:rPr>
      </w:pPr>
    </w:p>
    <w:p w14:paraId="1A64E491" w14:textId="49ED4237" w:rsidR="0014501D" w:rsidRDefault="0014501D" w:rsidP="00A018CE">
      <w:pPr>
        <w:rPr>
          <w:b/>
          <w:bCs/>
        </w:rPr>
      </w:pPr>
    </w:p>
    <w:p w14:paraId="2E121199" w14:textId="0639EE5B" w:rsidR="001A490B" w:rsidRDefault="001A490B" w:rsidP="00A018CE">
      <w:pPr>
        <w:rPr>
          <w:b/>
          <w:bCs/>
        </w:rPr>
      </w:pPr>
    </w:p>
    <w:p w14:paraId="7779CF61" w14:textId="1715B088" w:rsidR="001A490B" w:rsidRDefault="001A490B" w:rsidP="00A018CE">
      <w:pPr>
        <w:rPr>
          <w:b/>
          <w:bCs/>
        </w:rPr>
      </w:pPr>
    </w:p>
    <w:p w14:paraId="36220149" w14:textId="519829FB" w:rsidR="001A490B" w:rsidRDefault="001A490B" w:rsidP="00A018CE">
      <w:pPr>
        <w:rPr>
          <w:b/>
          <w:bCs/>
        </w:rPr>
      </w:pPr>
    </w:p>
    <w:p w14:paraId="31BAFC9D" w14:textId="77777777" w:rsidR="001A490B" w:rsidRDefault="001A490B" w:rsidP="00A018CE">
      <w:pPr>
        <w:rPr>
          <w:b/>
          <w:bCs/>
        </w:rPr>
      </w:pPr>
    </w:p>
    <w:p w14:paraId="2BA13BEF" w14:textId="77777777" w:rsidR="0014501D" w:rsidRDefault="0014501D" w:rsidP="00A018CE">
      <w:pPr>
        <w:rPr>
          <w:b/>
          <w:bCs/>
        </w:rPr>
      </w:pPr>
    </w:p>
    <w:p w14:paraId="63850E92" w14:textId="77777777"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7834E1AF" w14:textId="77777777" w:rsidTr="00C4707F">
        <w:tc>
          <w:tcPr>
            <w:tcW w:w="10070" w:type="dxa"/>
          </w:tcPr>
          <w:p w14:paraId="028CF393" w14:textId="77777777" w:rsidR="00C4707F" w:rsidRDefault="00C4707F" w:rsidP="00C4707F">
            <w:pPr>
              <w:rPr>
                <w:rFonts w:cstheme="minorHAnsi"/>
              </w:rPr>
            </w:pPr>
          </w:p>
          <w:p w14:paraId="6AB6B7FD" w14:textId="77777777" w:rsidR="001A490B" w:rsidRPr="001A490B" w:rsidRDefault="001A490B" w:rsidP="001A490B">
            <w:pPr>
              <w:jc w:val="center"/>
              <w:rPr>
                <w:rFonts w:asciiTheme="majorBidi" w:hAnsiTheme="majorBidi" w:cstheme="majorBidi"/>
                <w:b/>
                <w:bCs/>
                <w:color w:val="C00000"/>
                <w:lang w:bidi="ar-EG"/>
              </w:rPr>
            </w:pPr>
            <w:r w:rsidRPr="001A490B">
              <w:rPr>
                <w:rFonts w:asciiTheme="majorBidi" w:hAnsiTheme="majorBidi" w:cstheme="majorBidi"/>
                <w:b/>
                <w:bCs/>
                <w:color w:val="C00000"/>
                <w:lang w:bidi="ar-EG"/>
              </w:rPr>
              <w:t>Application of Program and Performance Budgeting and Planning as an Approach to Developing Monitoring and Evaluation Systems in Egypt</w:t>
            </w:r>
          </w:p>
          <w:p w14:paraId="7EBD4FC1" w14:textId="77777777" w:rsidR="001A490B" w:rsidRPr="001A490B" w:rsidRDefault="001A490B" w:rsidP="001A490B">
            <w:pPr>
              <w:jc w:val="lowKashida"/>
              <w:rPr>
                <w:rFonts w:asciiTheme="majorBidi" w:hAnsiTheme="majorBidi" w:cstheme="majorBidi"/>
                <w:lang w:bidi="ar-EG"/>
              </w:rPr>
            </w:pPr>
            <w:r w:rsidRPr="001A490B">
              <w:rPr>
                <w:rFonts w:asciiTheme="majorBidi" w:hAnsiTheme="majorBidi" w:cstheme="majorBidi"/>
                <w:lang w:bidi="ar-EG"/>
              </w:rPr>
              <w:br/>
              <w:t>Egypt's Vision 2030 has placed special emphasis on program and performance budgeting to link system inputs with outputs and allocate financial resources to achieve specific goals and programs with clear and measurable performance indicators. This approach aims to enhance the efficiency of spending and public investment, and subsequently improve performance on a regular basis.</w:t>
            </w:r>
          </w:p>
          <w:p w14:paraId="3FA9A011" w14:textId="77777777" w:rsidR="001A490B" w:rsidRPr="001A490B" w:rsidRDefault="001A490B" w:rsidP="001A490B">
            <w:pPr>
              <w:jc w:val="lowKashida"/>
              <w:rPr>
                <w:rFonts w:asciiTheme="majorBidi" w:hAnsiTheme="majorBidi" w:cstheme="majorBidi"/>
                <w:rtl/>
                <w:lang w:bidi="ar-EG"/>
              </w:rPr>
            </w:pPr>
          </w:p>
          <w:p w14:paraId="696E76E1" w14:textId="77777777" w:rsidR="001A490B" w:rsidRPr="001A490B" w:rsidRDefault="001A490B" w:rsidP="001A490B">
            <w:pPr>
              <w:jc w:val="lowKashida"/>
              <w:rPr>
                <w:rFonts w:asciiTheme="majorBidi" w:hAnsiTheme="majorBidi" w:cstheme="majorBidi"/>
                <w:lang w:bidi="ar-EG"/>
              </w:rPr>
            </w:pPr>
            <w:r w:rsidRPr="001A490B">
              <w:rPr>
                <w:rFonts w:asciiTheme="majorBidi" w:hAnsiTheme="majorBidi" w:cstheme="majorBidi"/>
                <w:lang w:bidi="ar-EG"/>
              </w:rPr>
              <w:t>Egypt has established the legislative and regulatory framework to support the activation of the program and performance system. For example, the State General Planning Law No. (18) of 2022 emphasizes the necessity of applying the program and performance methodology and the importance of monitoring and evaluating performance.</w:t>
            </w:r>
          </w:p>
          <w:p w14:paraId="4DD37340" w14:textId="77777777" w:rsidR="001A490B" w:rsidRPr="001A490B" w:rsidRDefault="001A490B" w:rsidP="001A490B">
            <w:pPr>
              <w:jc w:val="lowKashida"/>
              <w:rPr>
                <w:rFonts w:asciiTheme="majorBidi" w:hAnsiTheme="majorBidi" w:cstheme="majorBidi"/>
                <w:rtl/>
                <w:lang w:bidi="ar-EG"/>
              </w:rPr>
            </w:pPr>
          </w:p>
          <w:p w14:paraId="43F92C1A" w14:textId="77777777" w:rsidR="001A490B" w:rsidRPr="001A490B" w:rsidRDefault="001A490B" w:rsidP="001A490B">
            <w:pPr>
              <w:jc w:val="lowKashida"/>
              <w:rPr>
                <w:rFonts w:asciiTheme="majorBidi" w:hAnsiTheme="majorBidi" w:cstheme="majorBidi"/>
                <w:lang w:bidi="ar-EG"/>
              </w:rPr>
            </w:pPr>
            <w:r w:rsidRPr="001A490B">
              <w:rPr>
                <w:rFonts w:asciiTheme="majorBidi" w:hAnsiTheme="majorBidi" w:cstheme="majorBidi"/>
                <w:lang w:bidi="ar-EG"/>
              </w:rPr>
              <w:t xml:space="preserve">In a short period, Egypt has accomplished what other countries have achieved over many years. It successfully implemented the program and performance methodology, with the real breakthrough occurring with the issuance of the government's work program in 2018/2019. Efforts have since continued to use digital transformation to support monitoring and evaluating performance, leading to the launch of the National Monitoring and Evaluation System “ADDA”, which is the first electronic monitoring mechanism for the Egyptian government, and the monitoring system for the national project to develop the Egyptian rural side “Decent Life Initiative”. Additionally, the "Sharek 2030" application was launched to involve citizens in the state's developmental plans and programs, allowing them to evaluate and monitor these programs. Furthermore, the integration of the "System for Preparation and Monitoring the Investment Plan" has been prioritized, which includes automating program and performance processes within the comprehensive framework for preparing and monitoring the investment plan. This encompasses the identification of each entity's development program, linking each entity's projects to relevant development programs, defining the quantitative target of each project as a performance measurement indicator within the framework of Egypt's Vision 2030 Government Program, determining the current implementation status of the overall indicators, and setting quantitative targets in light of approved investments. </w:t>
            </w:r>
            <w:r w:rsidRPr="001A490B">
              <w:rPr>
                <w:rFonts w:asciiTheme="majorBidi" w:hAnsiTheme="majorBidi" w:cstheme="majorBidi"/>
                <w:lang w:bidi="ar-EG"/>
              </w:rPr>
              <w:br/>
            </w:r>
          </w:p>
          <w:p w14:paraId="491DB0B8" w14:textId="77777777" w:rsidR="001A490B" w:rsidRPr="001A490B" w:rsidRDefault="001A490B" w:rsidP="001A490B">
            <w:pPr>
              <w:jc w:val="both"/>
              <w:rPr>
                <w:rFonts w:asciiTheme="majorBidi" w:hAnsiTheme="majorBidi" w:cstheme="majorBidi"/>
                <w:lang w:bidi="ar-EG"/>
              </w:rPr>
            </w:pPr>
            <w:r w:rsidRPr="001A490B">
              <w:rPr>
                <w:rFonts w:asciiTheme="majorBidi" w:hAnsiTheme="majorBidi" w:cstheme="majorBidi"/>
                <w:lang w:bidi="ar-EG"/>
              </w:rPr>
              <w:t>Significant importance has also been placed on initiatives that encourage local administrations to adopt best international practices in planning, monitoring, and performance evaluation. The "Performance-Based Grants in Public Investment Management at the local level" initiative complements the implementation of public investments focused on efficiency and accountability. This initiative aims to improve decision-making by governorates on how to prioritize, allocate, and manage investments. Additionally, it increases focus on measuring and monitoring governorates' performance and evaluating the quality of their services.</w:t>
            </w:r>
          </w:p>
          <w:p w14:paraId="1311636E" w14:textId="06FDF545" w:rsidR="001A490B" w:rsidRPr="001A490B" w:rsidRDefault="001A490B" w:rsidP="001A490B">
            <w:pPr>
              <w:jc w:val="both"/>
              <w:rPr>
                <w:rFonts w:asciiTheme="majorBidi" w:hAnsiTheme="majorBidi" w:cstheme="majorBidi"/>
                <w:rtl/>
                <w:lang w:bidi="ar-EG"/>
              </w:rPr>
            </w:pPr>
          </w:p>
          <w:p w14:paraId="57B719ED" w14:textId="266A8C57" w:rsidR="001A490B" w:rsidRPr="001A490B" w:rsidRDefault="001A490B" w:rsidP="001A490B">
            <w:pPr>
              <w:jc w:val="both"/>
              <w:rPr>
                <w:rFonts w:asciiTheme="majorBidi" w:hAnsiTheme="majorBidi" w:cstheme="majorBidi"/>
                <w:rtl/>
                <w:lang w:bidi="ar-EG"/>
              </w:rPr>
            </w:pPr>
          </w:p>
          <w:p w14:paraId="6096A704" w14:textId="0E923440" w:rsidR="001A490B" w:rsidRPr="001A490B" w:rsidRDefault="001A490B" w:rsidP="001A490B">
            <w:pPr>
              <w:jc w:val="both"/>
              <w:rPr>
                <w:rFonts w:asciiTheme="majorBidi" w:hAnsiTheme="majorBidi" w:cstheme="majorBidi"/>
                <w:rtl/>
                <w:lang w:bidi="ar-EG"/>
              </w:rPr>
            </w:pPr>
          </w:p>
          <w:p w14:paraId="19EB2F07" w14:textId="6E77E6B9" w:rsidR="001A490B" w:rsidRPr="001A490B" w:rsidRDefault="001A490B" w:rsidP="001A490B">
            <w:pPr>
              <w:jc w:val="both"/>
              <w:rPr>
                <w:rFonts w:asciiTheme="majorBidi" w:hAnsiTheme="majorBidi" w:cstheme="majorBidi"/>
                <w:rtl/>
                <w:lang w:bidi="ar-EG"/>
              </w:rPr>
            </w:pPr>
          </w:p>
          <w:p w14:paraId="08DB367B" w14:textId="77777777" w:rsidR="001A490B" w:rsidRPr="001A490B" w:rsidRDefault="001A490B" w:rsidP="001A490B">
            <w:pPr>
              <w:jc w:val="both"/>
              <w:rPr>
                <w:rFonts w:asciiTheme="majorBidi" w:hAnsiTheme="majorBidi" w:cstheme="majorBidi"/>
                <w:rtl/>
                <w:lang w:bidi="ar-EG"/>
              </w:rPr>
            </w:pPr>
          </w:p>
          <w:p w14:paraId="1D202B9C" w14:textId="77777777" w:rsidR="001A490B" w:rsidRPr="001A490B" w:rsidRDefault="001A490B" w:rsidP="001A490B">
            <w:pPr>
              <w:jc w:val="both"/>
              <w:rPr>
                <w:rFonts w:asciiTheme="majorBidi" w:hAnsiTheme="majorBidi" w:cstheme="majorBidi"/>
                <w:rtl/>
                <w:lang w:bidi="ar-EG"/>
              </w:rPr>
            </w:pPr>
            <w:r w:rsidRPr="001A490B">
              <w:rPr>
                <w:rFonts w:asciiTheme="majorBidi" w:hAnsiTheme="majorBidi" w:cstheme="majorBidi"/>
                <w:lang w:bidi="ar-EG"/>
              </w:rPr>
              <w:t>Egypt continues to take steps to activate the monitoring and performance evaluation system through a participatory approach that involves government entities, stakeholders from international and local institutions, experts, academics, and other concerned parties. This approach reflects an experience that aligns with the country's internal economic and social conditions while also benefiting from international expertise.</w:t>
            </w:r>
          </w:p>
          <w:p w14:paraId="7635BF6F" w14:textId="77777777" w:rsidR="001A490B" w:rsidRPr="001A490B" w:rsidRDefault="001A490B" w:rsidP="001A490B">
            <w:pPr>
              <w:jc w:val="both"/>
              <w:rPr>
                <w:rFonts w:asciiTheme="majorBidi" w:hAnsiTheme="majorBidi" w:cstheme="majorBidi"/>
                <w:lang w:bidi="ar-EG"/>
              </w:rPr>
            </w:pPr>
            <w:r w:rsidRPr="001A490B">
              <w:rPr>
                <w:rFonts w:asciiTheme="majorBidi" w:hAnsiTheme="majorBidi" w:cstheme="majorBidi"/>
                <w:lang w:bidi="ar-EG"/>
              </w:rPr>
              <w:t>In summary, Egypt's experience in applying program and performance budgeting and planning offers a model that other countries can benefit from, especially given that it is a comprehensive experience with the elements and foundations necessary for success, progress, and sustainability</w:t>
            </w:r>
            <w:r w:rsidRPr="001A490B">
              <w:rPr>
                <w:rFonts w:asciiTheme="majorBidi" w:hAnsiTheme="majorBidi" w:cstheme="majorBidi"/>
                <w:rtl/>
                <w:lang w:bidi="ar-EG"/>
              </w:rPr>
              <w:t>.</w:t>
            </w:r>
          </w:p>
          <w:p w14:paraId="66823A30" w14:textId="77777777" w:rsidR="00560447" w:rsidRPr="001A490B" w:rsidRDefault="00560447" w:rsidP="001A490B">
            <w:pPr>
              <w:spacing w:line="276" w:lineRule="auto"/>
              <w:jc w:val="both"/>
              <w:rPr>
                <w:b/>
                <w:bCs/>
              </w:rPr>
            </w:pPr>
          </w:p>
          <w:p w14:paraId="2CFF42F8" w14:textId="77777777" w:rsidR="0014501D" w:rsidRDefault="0014501D" w:rsidP="0014501D">
            <w:pPr>
              <w:spacing w:line="276" w:lineRule="auto"/>
              <w:jc w:val="both"/>
              <w:rPr>
                <w:b/>
                <w:bCs/>
              </w:rPr>
            </w:pPr>
          </w:p>
          <w:p w14:paraId="57B8DD6A" w14:textId="77777777" w:rsidR="00C4707F" w:rsidRDefault="00C4707F" w:rsidP="0014501D">
            <w:pPr>
              <w:spacing w:line="276" w:lineRule="auto"/>
              <w:rPr>
                <w:rFonts w:cstheme="minorHAnsi"/>
              </w:rPr>
            </w:pPr>
          </w:p>
          <w:p w14:paraId="6A13039F" w14:textId="77777777" w:rsidR="00C4707F" w:rsidRDefault="00C4707F" w:rsidP="00C4707F">
            <w:pPr>
              <w:rPr>
                <w:rFonts w:cstheme="minorHAnsi"/>
              </w:rPr>
            </w:pPr>
          </w:p>
          <w:p w14:paraId="767EDBFA" w14:textId="77777777" w:rsidR="00C4707F" w:rsidRDefault="00C4707F" w:rsidP="00C4707F">
            <w:pPr>
              <w:rPr>
                <w:rFonts w:cstheme="minorHAnsi"/>
              </w:rPr>
            </w:pPr>
          </w:p>
          <w:p w14:paraId="7BC9F144" w14:textId="77777777" w:rsidR="00C4707F" w:rsidRDefault="00C4707F" w:rsidP="00C4707F">
            <w:pPr>
              <w:rPr>
                <w:rFonts w:cstheme="minorHAnsi"/>
              </w:rPr>
            </w:pPr>
          </w:p>
          <w:p w14:paraId="0D39A9D4" w14:textId="77777777" w:rsidR="00C4707F" w:rsidRDefault="00C4707F" w:rsidP="00C4707F">
            <w:pPr>
              <w:ind w:left="0"/>
              <w:rPr>
                <w:rFonts w:cstheme="minorHAnsi"/>
              </w:rPr>
            </w:pPr>
          </w:p>
        </w:tc>
      </w:tr>
    </w:tbl>
    <w:p w14:paraId="1FC2F535" w14:textId="77777777" w:rsidR="00B213A7" w:rsidRPr="00B213A7" w:rsidRDefault="00B213A7" w:rsidP="00C4707F">
      <w:pPr>
        <w:rPr>
          <w:rFonts w:cstheme="minorHAnsi"/>
        </w:rPr>
      </w:pPr>
    </w:p>
    <w:sectPr w:rsidR="00B213A7" w:rsidRPr="00B213A7" w:rsidSect="00E7518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114B" w14:textId="77777777" w:rsidR="00CB4522" w:rsidRDefault="00CB4522" w:rsidP="00D2741A">
      <w:pPr>
        <w:spacing w:after="0" w:line="240" w:lineRule="auto"/>
      </w:pPr>
      <w:r>
        <w:separator/>
      </w:r>
    </w:p>
  </w:endnote>
  <w:endnote w:type="continuationSeparator" w:id="0">
    <w:p w14:paraId="6094906D" w14:textId="77777777" w:rsidR="00CB4522" w:rsidRDefault="00CB4522" w:rsidP="00D2741A">
      <w:pPr>
        <w:spacing w:after="0" w:line="240" w:lineRule="auto"/>
      </w:pPr>
      <w:r>
        <w:continuationSeparator/>
      </w:r>
    </w:p>
  </w:endnote>
  <w:endnote w:type="continuationNotice" w:id="1">
    <w:p w14:paraId="3ED74424" w14:textId="77777777" w:rsidR="00CB4522" w:rsidRDefault="00CB4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v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60C1BC5A" w14:textId="77777777"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3A35A"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7BC6" w14:textId="77777777" w:rsidR="00CB4522" w:rsidRDefault="00CB4522" w:rsidP="00D2741A">
      <w:pPr>
        <w:spacing w:after="0" w:line="240" w:lineRule="auto"/>
      </w:pPr>
      <w:r>
        <w:separator/>
      </w:r>
    </w:p>
  </w:footnote>
  <w:footnote w:type="continuationSeparator" w:id="0">
    <w:p w14:paraId="307F342F" w14:textId="77777777" w:rsidR="00CB4522" w:rsidRDefault="00CB4522" w:rsidP="00D2741A">
      <w:pPr>
        <w:spacing w:after="0" w:line="240" w:lineRule="auto"/>
      </w:pPr>
      <w:r>
        <w:continuationSeparator/>
      </w:r>
    </w:p>
  </w:footnote>
  <w:footnote w:type="continuationNotice" w:id="1">
    <w:p w14:paraId="2F06E4DD" w14:textId="77777777" w:rsidR="00CB4522" w:rsidRDefault="00CB4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C087C"/>
    <w:multiLevelType w:val="hybridMultilevel"/>
    <w:tmpl w:val="EDF0D352"/>
    <w:lvl w:ilvl="0" w:tplc="AE767B6A">
      <w:start w:val="70"/>
      <w:numFmt w:val="bullet"/>
      <w:lvlText w:val="-"/>
      <w:lvlJc w:val="left"/>
      <w:pPr>
        <w:ind w:left="461" w:hanging="360"/>
      </w:pPr>
      <w:rPr>
        <w:rFonts w:ascii="Calibri" w:eastAsiaTheme="minorHAnsi" w:hAnsi="Calibri" w:cs="Calibri"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9457540">
    <w:abstractNumId w:val="8"/>
  </w:num>
  <w:num w:numId="2" w16cid:durableId="144276032">
    <w:abstractNumId w:val="3"/>
  </w:num>
  <w:num w:numId="3" w16cid:durableId="1178806602">
    <w:abstractNumId w:val="9"/>
  </w:num>
  <w:num w:numId="4" w16cid:durableId="498078706">
    <w:abstractNumId w:val="13"/>
  </w:num>
  <w:num w:numId="5" w16cid:durableId="225923792">
    <w:abstractNumId w:val="2"/>
  </w:num>
  <w:num w:numId="6" w16cid:durableId="1763456661">
    <w:abstractNumId w:val="11"/>
  </w:num>
  <w:num w:numId="7" w16cid:durableId="358510522">
    <w:abstractNumId w:val="4"/>
  </w:num>
  <w:num w:numId="8" w16cid:durableId="666204391">
    <w:abstractNumId w:val="6"/>
  </w:num>
  <w:num w:numId="9" w16cid:durableId="1450314656">
    <w:abstractNumId w:val="10"/>
  </w:num>
  <w:num w:numId="10" w16cid:durableId="2141334836">
    <w:abstractNumId w:val="12"/>
  </w:num>
  <w:num w:numId="11" w16cid:durableId="1453402373">
    <w:abstractNumId w:val="5"/>
  </w:num>
  <w:num w:numId="12" w16cid:durableId="661010342">
    <w:abstractNumId w:val="1"/>
  </w:num>
  <w:num w:numId="13" w16cid:durableId="46422792">
    <w:abstractNumId w:val="0"/>
  </w:num>
  <w:num w:numId="14" w16cid:durableId="18660939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67F"/>
    <w:rsid w:val="00002D0E"/>
    <w:rsid w:val="00004570"/>
    <w:rsid w:val="00004D4D"/>
    <w:rsid w:val="000141A1"/>
    <w:rsid w:val="0001432A"/>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C92"/>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4F8D"/>
    <w:rsid w:val="00086B6D"/>
    <w:rsid w:val="00087673"/>
    <w:rsid w:val="00087C1F"/>
    <w:rsid w:val="00090F0F"/>
    <w:rsid w:val="00093F87"/>
    <w:rsid w:val="00094BFB"/>
    <w:rsid w:val="000A2271"/>
    <w:rsid w:val="000A22B5"/>
    <w:rsid w:val="000A33F4"/>
    <w:rsid w:val="000A3622"/>
    <w:rsid w:val="000A479F"/>
    <w:rsid w:val="000A6533"/>
    <w:rsid w:val="000B24DA"/>
    <w:rsid w:val="000C2167"/>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599"/>
    <w:rsid w:val="00115BDC"/>
    <w:rsid w:val="001209DA"/>
    <w:rsid w:val="001232DC"/>
    <w:rsid w:val="001272E3"/>
    <w:rsid w:val="001275A9"/>
    <w:rsid w:val="00127F39"/>
    <w:rsid w:val="00130E74"/>
    <w:rsid w:val="0013291D"/>
    <w:rsid w:val="00134D86"/>
    <w:rsid w:val="0013565C"/>
    <w:rsid w:val="0013723E"/>
    <w:rsid w:val="001376AE"/>
    <w:rsid w:val="00142CC8"/>
    <w:rsid w:val="0014354B"/>
    <w:rsid w:val="0014501D"/>
    <w:rsid w:val="001462A6"/>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A490B"/>
    <w:rsid w:val="001B0890"/>
    <w:rsid w:val="001B10FF"/>
    <w:rsid w:val="001B186D"/>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21C"/>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273B"/>
    <w:rsid w:val="00224903"/>
    <w:rsid w:val="002257B4"/>
    <w:rsid w:val="00225C64"/>
    <w:rsid w:val="00225D4C"/>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2AC3"/>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A36"/>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12B"/>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C7D66"/>
    <w:rsid w:val="003D05D4"/>
    <w:rsid w:val="003D0ABF"/>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29D0"/>
    <w:rsid w:val="00443756"/>
    <w:rsid w:val="00444E53"/>
    <w:rsid w:val="004450A9"/>
    <w:rsid w:val="0045052E"/>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D6C16"/>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132A"/>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1381"/>
    <w:rsid w:val="00533465"/>
    <w:rsid w:val="00535E0D"/>
    <w:rsid w:val="005418A5"/>
    <w:rsid w:val="00541E21"/>
    <w:rsid w:val="00543BC4"/>
    <w:rsid w:val="00543EFE"/>
    <w:rsid w:val="0054630E"/>
    <w:rsid w:val="00550409"/>
    <w:rsid w:val="00551983"/>
    <w:rsid w:val="005525C0"/>
    <w:rsid w:val="00553449"/>
    <w:rsid w:val="00556428"/>
    <w:rsid w:val="00560447"/>
    <w:rsid w:val="00562B6A"/>
    <w:rsid w:val="00562E6A"/>
    <w:rsid w:val="00563C1C"/>
    <w:rsid w:val="005646A0"/>
    <w:rsid w:val="00572EDE"/>
    <w:rsid w:val="005735F1"/>
    <w:rsid w:val="0057373A"/>
    <w:rsid w:val="00575120"/>
    <w:rsid w:val="00576054"/>
    <w:rsid w:val="0057758E"/>
    <w:rsid w:val="00582553"/>
    <w:rsid w:val="00583736"/>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1156A"/>
    <w:rsid w:val="0062221B"/>
    <w:rsid w:val="0062441D"/>
    <w:rsid w:val="00625291"/>
    <w:rsid w:val="0062530A"/>
    <w:rsid w:val="006277B4"/>
    <w:rsid w:val="00632620"/>
    <w:rsid w:val="00634022"/>
    <w:rsid w:val="006360B0"/>
    <w:rsid w:val="00637351"/>
    <w:rsid w:val="006414AE"/>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261B"/>
    <w:rsid w:val="00673FF4"/>
    <w:rsid w:val="006745D7"/>
    <w:rsid w:val="00682400"/>
    <w:rsid w:val="00683121"/>
    <w:rsid w:val="006857C4"/>
    <w:rsid w:val="00691A98"/>
    <w:rsid w:val="00694BDC"/>
    <w:rsid w:val="00695171"/>
    <w:rsid w:val="006A2FD7"/>
    <w:rsid w:val="006A32A8"/>
    <w:rsid w:val="006B13AC"/>
    <w:rsid w:val="006B2496"/>
    <w:rsid w:val="006B4CAB"/>
    <w:rsid w:val="006C0D78"/>
    <w:rsid w:val="006C2BB9"/>
    <w:rsid w:val="006C623F"/>
    <w:rsid w:val="006C77B0"/>
    <w:rsid w:val="006C7C82"/>
    <w:rsid w:val="006D17A8"/>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1525"/>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55C3"/>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022D3"/>
    <w:rsid w:val="00811175"/>
    <w:rsid w:val="00812498"/>
    <w:rsid w:val="00812AF3"/>
    <w:rsid w:val="0081763E"/>
    <w:rsid w:val="00822938"/>
    <w:rsid w:val="008237C7"/>
    <w:rsid w:val="00823C45"/>
    <w:rsid w:val="0082444B"/>
    <w:rsid w:val="00824E8D"/>
    <w:rsid w:val="00830D1A"/>
    <w:rsid w:val="008350D6"/>
    <w:rsid w:val="00837ED8"/>
    <w:rsid w:val="008416FC"/>
    <w:rsid w:val="008422B6"/>
    <w:rsid w:val="00844B0C"/>
    <w:rsid w:val="008478D5"/>
    <w:rsid w:val="008503C0"/>
    <w:rsid w:val="0085058E"/>
    <w:rsid w:val="00851B53"/>
    <w:rsid w:val="00854B06"/>
    <w:rsid w:val="00854F9B"/>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5FE7"/>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D7C8C"/>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5B7A"/>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5FFA"/>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2CCD"/>
    <w:rsid w:val="00AB3071"/>
    <w:rsid w:val="00AB368F"/>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0E73"/>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2939"/>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23C1"/>
    <w:rsid w:val="00B83FBA"/>
    <w:rsid w:val="00B855C1"/>
    <w:rsid w:val="00B86237"/>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399B"/>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5EF"/>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6A90"/>
    <w:rsid w:val="00C973D7"/>
    <w:rsid w:val="00CA1B68"/>
    <w:rsid w:val="00CA3019"/>
    <w:rsid w:val="00CA3CEF"/>
    <w:rsid w:val="00CA5EF1"/>
    <w:rsid w:val="00CB08EA"/>
    <w:rsid w:val="00CB0FD7"/>
    <w:rsid w:val="00CB2364"/>
    <w:rsid w:val="00CB2D14"/>
    <w:rsid w:val="00CB4522"/>
    <w:rsid w:val="00CB565A"/>
    <w:rsid w:val="00CB5FC2"/>
    <w:rsid w:val="00CB6176"/>
    <w:rsid w:val="00CB66DD"/>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E5E92"/>
    <w:rsid w:val="00CF066B"/>
    <w:rsid w:val="00CF1B21"/>
    <w:rsid w:val="00CF363E"/>
    <w:rsid w:val="00CF485F"/>
    <w:rsid w:val="00CF5588"/>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27774"/>
    <w:rsid w:val="00D34941"/>
    <w:rsid w:val="00D34A6B"/>
    <w:rsid w:val="00D35C80"/>
    <w:rsid w:val="00D400BD"/>
    <w:rsid w:val="00D42FE3"/>
    <w:rsid w:val="00D43640"/>
    <w:rsid w:val="00D436EF"/>
    <w:rsid w:val="00D44BEF"/>
    <w:rsid w:val="00D51CAA"/>
    <w:rsid w:val="00D57FC1"/>
    <w:rsid w:val="00D6177A"/>
    <w:rsid w:val="00D62CD4"/>
    <w:rsid w:val="00D63E78"/>
    <w:rsid w:val="00D64C20"/>
    <w:rsid w:val="00D66AF2"/>
    <w:rsid w:val="00D70082"/>
    <w:rsid w:val="00D70B1C"/>
    <w:rsid w:val="00D74D47"/>
    <w:rsid w:val="00D75EFE"/>
    <w:rsid w:val="00D76113"/>
    <w:rsid w:val="00D77FE5"/>
    <w:rsid w:val="00D8169F"/>
    <w:rsid w:val="00D83BB7"/>
    <w:rsid w:val="00D84CDB"/>
    <w:rsid w:val="00D853E0"/>
    <w:rsid w:val="00D86410"/>
    <w:rsid w:val="00D86BB1"/>
    <w:rsid w:val="00D878A7"/>
    <w:rsid w:val="00D91F6D"/>
    <w:rsid w:val="00D92AFE"/>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3BAC"/>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42D"/>
    <w:rsid w:val="00EE48B7"/>
    <w:rsid w:val="00EE5956"/>
    <w:rsid w:val="00EE64DB"/>
    <w:rsid w:val="00EE6FC0"/>
    <w:rsid w:val="00EE70BF"/>
    <w:rsid w:val="00EF0B6C"/>
    <w:rsid w:val="00EF296D"/>
    <w:rsid w:val="00EF60CF"/>
    <w:rsid w:val="00EF749E"/>
    <w:rsid w:val="00F00047"/>
    <w:rsid w:val="00F00B66"/>
    <w:rsid w:val="00F01253"/>
    <w:rsid w:val="00F05C37"/>
    <w:rsid w:val="00F0758D"/>
    <w:rsid w:val="00F07815"/>
    <w:rsid w:val="00F118D0"/>
    <w:rsid w:val="00F15124"/>
    <w:rsid w:val="00F17534"/>
    <w:rsid w:val="00F17A7E"/>
    <w:rsid w:val="00F202FC"/>
    <w:rsid w:val="00F20AC7"/>
    <w:rsid w:val="00F20F5C"/>
    <w:rsid w:val="00F221CE"/>
    <w:rsid w:val="00F22709"/>
    <w:rsid w:val="00F2270B"/>
    <w:rsid w:val="00F25183"/>
    <w:rsid w:val="00F27E33"/>
    <w:rsid w:val="00F30048"/>
    <w:rsid w:val="00F303CE"/>
    <w:rsid w:val="00F308F8"/>
    <w:rsid w:val="00F31EC0"/>
    <w:rsid w:val="00F34492"/>
    <w:rsid w:val="00F35607"/>
    <w:rsid w:val="00F367F9"/>
    <w:rsid w:val="00F40759"/>
    <w:rsid w:val="00F462EF"/>
    <w:rsid w:val="00F474C9"/>
    <w:rsid w:val="00F534BB"/>
    <w:rsid w:val="00F53BA4"/>
    <w:rsid w:val="00F5409B"/>
    <w:rsid w:val="00F54392"/>
    <w:rsid w:val="00F55373"/>
    <w:rsid w:val="00F62AE2"/>
    <w:rsid w:val="00F64AA4"/>
    <w:rsid w:val="00F65460"/>
    <w:rsid w:val="00F659D4"/>
    <w:rsid w:val="00F74370"/>
    <w:rsid w:val="00F74D62"/>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77A1F"/>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customStyle="1" w:styleId="Default">
    <w:name w:val="Default"/>
    <w:rsid w:val="00F202FC"/>
    <w:pPr>
      <w:autoSpaceDE w:val="0"/>
      <w:autoSpaceDN w:val="0"/>
      <w:adjustRightInd w:val="0"/>
      <w:spacing w:after="0" w:line="240" w:lineRule="auto"/>
    </w:pPr>
    <w:rPr>
      <w:rFonts w:ascii="Canva Sans" w:hAnsi="Canva Sans" w:cs="Canv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34565374">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67921633">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4487-4E25-445D-BDB2-53EF2EA93198}">
  <ds:schemaRefs>
    <ds:schemaRef ds:uri="http://schemas.openxmlformats.org/officeDocument/2006/bibliography"/>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4217</Characters>
  <Application>Microsoft Office Word</Application>
  <DocSecurity>4</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/Annex 2: Abstract submission template (to be uploaded to the submission portal)</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Amira Abdel Latif</cp:lastModifiedBy>
  <cp:revision>2</cp:revision>
  <cp:lastPrinted>2022-03-10T21:45:00Z</cp:lastPrinted>
  <dcterms:created xsi:type="dcterms:W3CDTF">2024-07-03T08:25:00Z</dcterms:created>
  <dcterms:modified xsi:type="dcterms:W3CDTF">2024-07-03T08:25:00Z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