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42493129" w:rsidR="00ED78A0" w:rsidRPr="009D0066" w:rsidRDefault="00ED78A0" w:rsidP="002177CD">
            <w:pPr>
              <w:spacing w:after="120"/>
              <w:contextualSpacing/>
              <w:jc w:val="both"/>
              <w:rPr>
                <w:rFonts w:cstheme="minorHAnsi"/>
              </w:rPr>
            </w:pPr>
            <w:r>
              <w:rPr>
                <w:rFonts w:cstheme="minorHAnsi"/>
              </w:rPr>
              <w:t>Professor Ian Goldman</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78BCE493" w:rsidR="009368D6" w:rsidRPr="009D0066" w:rsidRDefault="00ED78A0" w:rsidP="002177CD">
            <w:pPr>
              <w:spacing w:after="120"/>
              <w:contextualSpacing/>
              <w:jc w:val="both"/>
              <w:rPr>
                <w:rFonts w:cstheme="minorHAnsi"/>
              </w:rPr>
            </w:pPr>
            <w:r>
              <w:rPr>
                <w:rFonts w:cstheme="minorHAnsi"/>
              </w:rPr>
              <w:t>South Africa, British</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2CE0F01F" w:rsidR="008350D6" w:rsidRPr="009D0066" w:rsidRDefault="00ED78A0" w:rsidP="002177CD">
            <w:pPr>
              <w:spacing w:after="120"/>
              <w:contextualSpacing/>
              <w:jc w:val="both"/>
              <w:rPr>
                <w:rFonts w:cstheme="minorHAnsi"/>
              </w:rPr>
            </w:pPr>
            <w:r>
              <w:rPr>
                <w:rFonts w:cstheme="minorHAnsi"/>
              </w:rPr>
              <w:t xml:space="preserve">Male </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67CC1E45" w:rsidR="009368D6" w:rsidRPr="009D0066" w:rsidRDefault="00ED78A0" w:rsidP="002177CD">
            <w:pPr>
              <w:spacing w:after="120"/>
              <w:contextualSpacing/>
              <w:jc w:val="both"/>
              <w:rPr>
                <w:rFonts w:cstheme="minorHAnsi"/>
              </w:rPr>
            </w:pPr>
            <w:r>
              <w:rPr>
                <w:rFonts w:cstheme="minorHAnsi"/>
              </w:rPr>
              <w:t>South Africa</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414EC02F" w14:textId="77777777" w:rsidR="009368D6" w:rsidRDefault="00ED78A0" w:rsidP="002177CD">
            <w:pPr>
              <w:spacing w:after="120"/>
              <w:contextualSpacing/>
              <w:jc w:val="both"/>
              <w:rPr>
                <w:rFonts w:cstheme="minorHAnsi"/>
              </w:rPr>
            </w:pPr>
            <w:r>
              <w:rPr>
                <w:rFonts w:cstheme="minorHAnsi"/>
              </w:rPr>
              <w:t>International Evaluation Academy</w:t>
            </w:r>
          </w:p>
          <w:p w14:paraId="44DF2F9D" w14:textId="69D63C94" w:rsidR="00ED78A0" w:rsidRDefault="00ED78A0" w:rsidP="002177CD">
            <w:pPr>
              <w:spacing w:after="120"/>
              <w:contextualSpacing/>
              <w:jc w:val="both"/>
              <w:rPr>
                <w:rFonts w:cstheme="minorHAnsi"/>
              </w:rPr>
            </w:pPr>
            <w:r>
              <w:rPr>
                <w:rFonts w:cstheme="minorHAnsi"/>
              </w:rPr>
              <w:t>South African Presidency</w:t>
            </w:r>
          </w:p>
          <w:p w14:paraId="27E37347" w14:textId="7EF9BEE1" w:rsidR="00ED78A0" w:rsidRPr="009D0066" w:rsidRDefault="00ED78A0" w:rsidP="002177CD">
            <w:pPr>
              <w:spacing w:after="120"/>
              <w:contextualSpacing/>
              <w:jc w:val="both"/>
              <w:rPr>
                <w:rFonts w:cstheme="minorHAnsi"/>
              </w:rPr>
            </w:pPr>
            <w:r>
              <w:rPr>
                <w:rFonts w:cstheme="minorHAnsi"/>
              </w:rPr>
              <w:t>GEI/CLEAR</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2BBB6AC2" w14:textId="3A1B4AFF" w:rsidR="009368D6" w:rsidRPr="009D0066" w:rsidRDefault="00ED78A0" w:rsidP="002177CD">
            <w:pPr>
              <w:spacing w:after="120"/>
              <w:contextualSpacing/>
              <w:jc w:val="both"/>
              <w:rPr>
                <w:rFonts w:cstheme="minorHAnsi"/>
              </w:rPr>
            </w:pPr>
            <w:r>
              <w:rPr>
                <w:rFonts w:cstheme="minorHAnsi"/>
              </w:rPr>
              <w:t>Ian.goldman@wits.ac.za</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1C905672" w:rsidR="009368D6" w:rsidRPr="009D0066" w:rsidRDefault="00ED78A0" w:rsidP="002177CD">
            <w:pPr>
              <w:spacing w:after="120"/>
              <w:contextualSpacing/>
              <w:jc w:val="both"/>
              <w:rPr>
                <w:rFonts w:cstheme="minorHAnsi"/>
              </w:rPr>
            </w:pPr>
            <w:r>
              <w:rPr>
                <w:rFonts w:cstheme="minorHAnsi"/>
              </w:rPr>
              <w:t>NESs promoting a just transition</w:t>
            </w: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68512682" w:rsidR="009368D6" w:rsidRPr="00ED78A0" w:rsidRDefault="00ED78A0" w:rsidP="00993845">
            <w:pPr>
              <w:spacing w:after="120"/>
              <w:contextualSpacing/>
              <w:rPr>
                <w:rFonts w:cstheme="minorHAnsi"/>
                <w:b/>
                <w:bCs/>
              </w:rPr>
            </w:pPr>
            <w:r w:rsidRPr="00ED78A0">
              <w:rPr>
                <w:rFonts w:cstheme="minorHAnsi"/>
                <w:b/>
                <w:bCs/>
              </w:rPr>
              <w:t>X</w:t>
            </w:r>
            <w:r w:rsidR="009368D6" w:rsidRPr="00ED78A0">
              <w:rPr>
                <w:rFonts w:cstheme="minorHAnsi"/>
                <w:b/>
                <w:bCs/>
              </w:rPr>
              <w:t xml:space="preserve">□ </w:t>
            </w:r>
            <w:r w:rsidR="00BC1E41" w:rsidRPr="00ED78A0">
              <w:rPr>
                <w:rFonts w:cstheme="minorHAnsi"/>
                <w:b/>
                <w:bCs/>
              </w:rPr>
              <w:t xml:space="preserve">Stream B. </w:t>
            </w:r>
            <w:r w:rsidR="003E6831" w:rsidRPr="00ED78A0">
              <w:rPr>
                <w:rFonts w:cstheme="minorHAnsi"/>
                <w:b/>
                <w:bCs/>
              </w:rPr>
              <w:t>Inclusive National Evaluation Systems</w:t>
            </w:r>
          </w:p>
          <w:p w14:paraId="7426A507" w14:textId="77777777" w:rsidR="003E6831" w:rsidRDefault="003E6831" w:rsidP="00993845">
            <w:pPr>
              <w:spacing w:after="120"/>
              <w:contextualSpacing/>
              <w:rPr>
                <w:rFonts w:cstheme="minorHAnsi"/>
              </w:rPr>
            </w:pP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193C14FA" w14:textId="77777777" w:rsidR="009368D6" w:rsidRDefault="00ED78A0" w:rsidP="002177CD">
            <w:pPr>
              <w:spacing w:after="120"/>
              <w:contextualSpacing/>
              <w:jc w:val="both"/>
              <w:rPr>
                <w:rFonts w:cstheme="minorHAnsi"/>
              </w:rPr>
            </w:pPr>
            <w:r>
              <w:rPr>
                <w:rFonts w:cstheme="minorHAnsi"/>
              </w:rPr>
              <w:t xml:space="preserve">Thokozile </w:t>
            </w:r>
            <w:proofErr w:type="spellStart"/>
            <w:r>
              <w:rPr>
                <w:rFonts w:cstheme="minorHAnsi"/>
              </w:rPr>
              <w:t>Molaiwa</w:t>
            </w:r>
            <w:proofErr w:type="spellEnd"/>
            <w:r>
              <w:rPr>
                <w:rFonts w:cstheme="minorHAnsi"/>
              </w:rPr>
              <w:t>, Chief Director, Evaluation, Department of Planning, Monitoring and Evaluation, South Africa</w:t>
            </w:r>
          </w:p>
          <w:p w14:paraId="51C721A5" w14:textId="230D1999" w:rsidR="00DD6895" w:rsidRPr="009D0066" w:rsidRDefault="00DD6895" w:rsidP="002177CD">
            <w:pPr>
              <w:spacing w:after="120"/>
              <w:contextualSpacing/>
              <w:jc w:val="both"/>
              <w:rPr>
                <w:rFonts w:cstheme="minorHAnsi"/>
              </w:rPr>
            </w:pPr>
            <w:r>
              <w:rPr>
                <w:rFonts w:cstheme="minorHAnsi"/>
              </w:rPr>
              <w:t xml:space="preserve">Edoe </w:t>
            </w:r>
            <w:proofErr w:type="spellStart"/>
            <w:r>
              <w:rPr>
                <w:rFonts w:cstheme="minorHAnsi"/>
              </w:rPr>
              <w:t>Djimitri</w:t>
            </w:r>
            <w:proofErr w:type="spellEnd"/>
            <w:r>
              <w:rPr>
                <w:rFonts w:cstheme="minorHAnsi"/>
              </w:rPr>
              <w:t xml:space="preserve"> </w:t>
            </w:r>
            <w:proofErr w:type="spellStart"/>
            <w:r>
              <w:rPr>
                <w:rFonts w:cstheme="minorHAnsi"/>
              </w:rPr>
              <w:t>Agbodjan</w:t>
            </w:r>
            <w:proofErr w:type="spellEnd"/>
            <w:r>
              <w:rPr>
                <w:rFonts w:cstheme="minorHAnsi"/>
              </w:rPr>
              <w:t>, Director, CLEAR Francophone Africa</w:t>
            </w: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5A985B98" w:rsidR="009368D6" w:rsidRPr="00287823" w:rsidRDefault="00287823" w:rsidP="00797E83">
            <w:pPr>
              <w:pStyle w:val="CommentText"/>
              <w:ind w:left="0"/>
              <w:rPr>
                <w:rFonts w:cstheme="minorHAnsi"/>
                <w:b/>
                <w:bCs/>
                <w:sz w:val="22"/>
                <w:szCs w:val="22"/>
              </w:rPr>
            </w:pPr>
            <w:r w:rsidRPr="00287823">
              <w:rPr>
                <w:rFonts w:cstheme="minorHAnsi"/>
                <w:b/>
                <w:bCs/>
                <w:sz w:val="22"/>
                <w:szCs w:val="22"/>
              </w:rPr>
              <w:t>X</w:t>
            </w:r>
            <w:r w:rsidR="009368D6" w:rsidRPr="00287823">
              <w:rPr>
                <w:rFonts w:cstheme="minorHAnsi"/>
                <w:b/>
                <w:bCs/>
                <w:sz w:val="22"/>
                <w:szCs w:val="22"/>
              </w:rPr>
              <w:t>□ Formal presentation (maximum 1</w:t>
            </w:r>
            <w:r w:rsidR="00175EFE" w:rsidRPr="00287823">
              <w:rPr>
                <w:rFonts w:cstheme="minorHAnsi"/>
                <w:b/>
                <w:bCs/>
                <w:sz w:val="22"/>
                <w:szCs w:val="22"/>
              </w:rPr>
              <w:t>0</w:t>
            </w:r>
            <w:r w:rsidR="009368D6" w:rsidRPr="00287823">
              <w:rPr>
                <w:rFonts w:cstheme="minorHAnsi"/>
                <w:b/>
                <w:bCs/>
                <w:sz w:val="22"/>
                <w:szCs w:val="22"/>
              </w:rPr>
              <w:t xml:space="preserve"> minutes)</w:t>
            </w:r>
          </w:p>
          <w:p w14:paraId="4D402568"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56448E11" w:rsidR="009368D6" w:rsidRDefault="009368D6" w:rsidP="002177CD">
            <w:pPr>
              <w:pStyle w:val="CommentText"/>
              <w:rPr>
                <w:rFonts w:cstheme="minorHAnsi"/>
                <w:sz w:val="22"/>
                <w:szCs w:val="22"/>
              </w:rPr>
            </w:pPr>
            <w:r w:rsidRPr="009D0066">
              <w:rPr>
                <w:rFonts w:cstheme="minorHAnsi"/>
                <w:sz w:val="22"/>
                <w:szCs w:val="22"/>
              </w:rPr>
              <w:t>□</w:t>
            </w:r>
            <w:r w:rsidRPr="00ED78A0">
              <w:rPr>
                <w:rFonts w:cstheme="minorHAnsi"/>
                <w:b/>
                <w:bCs/>
                <w:sz w:val="22"/>
                <w:szCs w:val="22"/>
              </w:rPr>
              <w:t xml:space="preserve"> Yes</w:t>
            </w:r>
            <w:r w:rsidR="00ED78A0">
              <w:rPr>
                <w:rFonts w:cstheme="minorHAnsi"/>
                <w:b/>
                <w:bCs/>
                <w:sz w:val="22"/>
                <w:szCs w:val="22"/>
              </w:rPr>
              <w:t xml:space="preserve"> </w:t>
            </w:r>
          </w:p>
          <w:p w14:paraId="03E81189" w14:textId="77777777"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EB14468"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w:t>
            </w:r>
            <w:r w:rsidRPr="00ED78A0">
              <w:rPr>
                <w:rFonts w:cstheme="minorHAnsi"/>
                <w:b/>
                <w:bCs/>
                <w:sz w:val="22"/>
                <w:szCs w:val="22"/>
              </w:rPr>
              <w:t>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60288547" w:rsidR="00A018CE" w:rsidRPr="00FE647C" w:rsidRDefault="00DD6895" w:rsidP="00A018CE">
      <w:pPr>
        <w:rPr>
          <w:b/>
          <w:bCs/>
        </w:rPr>
      </w:pPr>
      <w:r>
        <w:rPr>
          <w:b/>
          <w:bCs/>
        </w:rPr>
        <w:t xml:space="preserve">NEC </w:t>
      </w:r>
      <w:r w:rsidR="00A018CE" w:rsidRPr="00FE647C">
        <w:rPr>
          <w:b/>
          <w:bCs/>
        </w:rPr>
        <w:t>Abstract Text (</w:t>
      </w:r>
      <w:r w:rsidR="003C7BA6">
        <w:rPr>
          <w:b/>
          <w:bCs/>
        </w:rPr>
        <w:t>m</w:t>
      </w:r>
      <w:r w:rsidR="00B22367">
        <w:rPr>
          <w:b/>
          <w:bCs/>
        </w:rPr>
        <w:t xml:space="preserve">ax. </w:t>
      </w:r>
      <w:r w:rsidR="00A018CE"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6D6F3D68" w14:textId="5EAFF537" w:rsidR="00ED78A0" w:rsidRPr="00ED78A0" w:rsidRDefault="00ED78A0" w:rsidP="00ED78A0">
            <w:pPr>
              <w:rPr>
                <w:b/>
                <w:bCs/>
                <w:sz w:val="20"/>
                <w:szCs w:val="20"/>
              </w:rPr>
            </w:pPr>
            <w:r>
              <w:rPr>
                <w:b/>
                <w:bCs/>
                <w:sz w:val="20"/>
                <w:szCs w:val="20"/>
              </w:rPr>
              <w:t>Background</w:t>
            </w:r>
          </w:p>
          <w:p w14:paraId="1272E552" w14:textId="1A14D2DC" w:rsidR="00ED78A0" w:rsidRPr="00C6495E" w:rsidRDefault="00ED78A0" w:rsidP="00ED78A0">
            <w:pPr>
              <w:rPr>
                <w:sz w:val="20"/>
                <w:szCs w:val="20"/>
              </w:rPr>
            </w:pPr>
            <w:r w:rsidRPr="00C6495E">
              <w:rPr>
                <w:sz w:val="20"/>
                <w:szCs w:val="20"/>
              </w:rPr>
              <w:t xml:space="preserve">The world is facing increasing crises as a result of unsustainable economic systems, with wealth accumulating in the hands of the few, and </w:t>
            </w:r>
            <w:r>
              <w:rPr>
                <w:sz w:val="20"/>
                <w:szCs w:val="20"/>
              </w:rPr>
              <w:t>declining health of the</w:t>
            </w:r>
            <w:r w:rsidRPr="00C6495E">
              <w:rPr>
                <w:sz w:val="20"/>
                <w:szCs w:val="20"/>
              </w:rPr>
              <w:t xml:space="preserve"> planet. </w:t>
            </w:r>
            <w:r w:rsidR="00C40835" w:rsidRPr="00C40835">
              <w:rPr>
                <w:sz w:val="20"/>
                <w:szCs w:val="20"/>
              </w:rPr>
              <w:t xml:space="preserve">The 2023/24 Human Development Report </w:t>
            </w:r>
            <w:r w:rsidR="00C40835">
              <w:rPr>
                <w:sz w:val="20"/>
                <w:szCs w:val="20"/>
              </w:rPr>
              <w:t>highlights u</w:t>
            </w:r>
            <w:r w:rsidR="00C40835" w:rsidRPr="00C40835">
              <w:rPr>
                <w:sz w:val="20"/>
                <w:szCs w:val="20"/>
              </w:rPr>
              <w:t>neven development progress</w:t>
            </w:r>
            <w:r w:rsidR="00C40835">
              <w:rPr>
                <w:sz w:val="20"/>
                <w:szCs w:val="20"/>
              </w:rPr>
              <w:t xml:space="preserve"> and </w:t>
            </w:r>
            <w:r w:rsidR="00C40835" w:rsidRPr="00C40835">
              <w:rPr>
                <w:sz w:val="20"/>
                <w:szCs w:val="20"/>
              </w:rPr>
              <w:t>intensif</w:t>
            </w:r>
            <w:r w:rsidR="00C40835">
              <w:rPr>
                <w:sz w:val="20"/>
                <w:szCs w:val="20"/>
              </w:rPr>
              <w:t xml:space="preserve">ied </w:t>
            </w:r>
            <w:r w:rsidR="00C40835" w:rsidRPr="00C40835">
              <w:rPr>
                <w:sz w:val="20"/>
                <w:szCs w:val="20"/>
              </w:rPr>
              <w:t xml:space="preserve"> inequality</w:t>
            </w:r>
            <w:r w:rsidR="00C40835">
              <w:rPr>
                <w:sz w:val="20"/>
                <w:szCs w:val="20"/>
              </w:rPr>
              <w:t>.</w:t>
            </w:r>
            <w:r w:rsidR="00287823">
              <w:rPr>
                <w:sz w:val="20"/>
                <w:szCs w:val="20"/>
              </w:rPr>
              <w:t xml:space="preserve"> </w:t>
            </w:r>
            <w:r w:rsidRPr="00C6495E">
              <w:rPr>
                <w:sz w:val="20"/>
                <w:szCs w:val="20"/>
              </w:rPr>
              <w:t>Evaluation has the potential for a significant role in learning from the past</w:t>
            </w:r>
            <w:r>
              <w:rPr>
                <w:sz w:val="20"/>
                <w:szCs w:val="20"/>
              </w:rPr>
              <w:t xml:space="preserve"> and</w:t>
            </w:r>
            <w:r w:rsidRPr="00C6495E">
              <w:rPr>
                <w:sz w:val="20"/>
                <w:szCs w:val="20"/>
              </w:rPr>
              <w:t xml:space="preserve"> helping to guide a regenerative future</w:t>
            </w:r>
            <w:r>
              <w:rPr>
                <w:sz w:val="20"/>
                <w:szCs w:val="20"/>
              </w:rPr>
              <w:t>, but for this</w:t>
            </w:r>
            <w:r w:rsidRPr="193CED08">
              <w:rPr>
                <w:sz w:val="20"/>
                <w:szCs w:val="20"/>
              </w:rPr>
              <w:t>,</w:t>
            </w:r>
            <w:r>
              <w:rPr>
                <w:sz w:val="20"/>
                <w:szCs w:val="20"/>
              </w:rPr>
              <w:t xml:space="preserve"> </w:t>
            </w:r>
            <w:r w:rsidRPr="00C6495E">
              <w:rPr>
                <w:sz w:val="20"/>
                <w:szCs w:val="20"/>
              </w:rPr>
              <w:t xml:space="preserve">the approach to evaluation must take on </w:t>
            </w:r>
            <w:proofErr w:type="spellStart"/>
            <w:r w:rsidRPr="00287823">
              <w:rPr>
                <w:color w:val="000000" w:themeColor="text1"/>
                <w:sz w:val="20"/>
                <w:szCs w:val="20"/>
              </w:rPr>
              <w:t>decolonised</w:t>
            </w:r>
            <w:proofErr w:type="spellEnd"/>
            <w:r w:rsidRPr="00CB066E">
              <w:rPr>
                <w:color w:val="000000" w:themeColor="text1"/>
                <w:sz w:val="20"/>
                <w:szCs w:val="20"/>
              </w:rPr>
              <w:t xml:space="preserve"> </w:t>
            </w:r>
            <w:r w:rsidRPr="00C6495E">
              <w:rPr>
                <w:sz w:val="20"/>
                <w:szCs w:val="20"/>
              </w:rPr>
              <w:t>and more holistic approaches to society and the planet</w:t>
            </w:r>
            <w:r>
              <w:rPr>
                <w:sz w:val="20"/>
                <w:szCs w:val="20"/>
              </w:rPr>
              <w:t>, which address issues of power</w:t>
            </w:r>
            <w:r w:rsidRPr="00C6495E">
              <w:rPr>
                <w:sz w:val="20"/>
                <w:szCs w:val="20"/>
              </w:rPr>
              <w:t xml:space="preserve">. </w:t>
            </w:r>
            <w:r w:rsidR="009F1089">
              <w:rPr>
                <w:sz w:val="20"/>
                <w:szCs w:val="20"/>
              </w:rPr>
              <w:t>T</w:t>
            </w:r>
            <w:r w:rsidR="009F1089" w:rsidRPr="009F1089">
              <w:rPr>
                <w:sz w:val="20"/>
                <w:szCs w:val="20"/>
              </w:rPr>
              <w:t xml:space="preserve">he ‘patterns of organization of machine-based and ecology-based systems’, are offered as ways of framing a </w:t>
            </w:r>
            <w:proofErr w:type="spellStart"/>
            <w:r w:rsidR="009F1089" w:rsidRPr="009F1089">
              <w:rPr>
                <w:sz w:val="20"/>
                <w:szCs w:val="20"/>
              </w:rPr>
              <w:t>decolonised</w:t>
            </w:r>
            <w:proofErr w:type="spellEnd"/>
            <w:r w:rsidR="009F1089" w:rsidRPr="009F1089">
              <w:rPr>
                <w:sz w:val="20"/>
                <w:szCs w:val="20"/>
              </w:rPr>
              <w:t xml:space="preserve"> approach to evaluation. Contemporary neo-colonial, functionalist bureaucratic systems have characteristics of machine-based systems, e.g. hierarchical structures with top-down control; layers of nested hierarchical units, relatively closed boundaries, grounding in rules focused on homogeneity, a </w:t>
            </w:r>
            <w:proofErr w:type="spellStart"/>
            <w:r w:rsidR="009F1089" w:rsidRPr="009F1089">
              <w:rPr>
                <w:sz w:val="20"/>
                <w:szCs w:val="20"/>
              </w:rPr>
              <w:t>stabilising</w:t>
            </w:r>
            <w:proofErr w:type="spellEnd"/>
            <w:r w:rsidR="009F1089" w:rsidRPr="009F1089">
              <w:rPr>
                <w:sz w:val="20"/>
                <w:szCs w:val="20"/>
              </w:rPr>
              <w:t xml:space="preserve"> resilience, predictability, linearity, and control. Ecological systems present a transformative perspective and offers in terms of structure</w:t>
            </w:r>
            <w:r w:rsidR="009F1089">
              <w:rPr>
                <w:sz w:val="20"/>
                <w:szCs w:val="20"/>
              </w:rPr>
              <w:t>:</w:t>
            </w:r>
            <w:r w:rsidR="009F1089" w:rsidRPr="009F1089">
              <w:rPr>
                <w:sz w:val="20"/>
                <w:szCs w:val="20"/>
              </w:rPr>
              <w:t xml:space="preserve"> the principles or </w:t>
            </w:r>
            <w:proofErr w:type="spellStart"/>
            <w:r w:rsidR="009F1089" w:rsidRPr="009F1089">
              <w:rPr>
                <w:sz w:val="20"/>
                <w:szCs w:val="20"/>
              </w:rPr>
              <w:t>organising</w:t>
            </w:r>
            <w:proofErr w:type="spellEnd"/>
            <w:r w:rsidR="009F1089" w:rsidRPr="009F1089">
              <w:rPr>
                <w:sz w:val="20"/>
                <w:szCs w:val="20"/>
              </w:rPr>
              <w:t xml:space="preserve"> are distributed controls; a nested web-like network; flexible, relatively open boundaries; emergence of complex features; self-</w:t>
            </w:r>
            <w:proofErr w:type="spellStart"/>
            <w:r w:rsidR="009F1089" w:rsidRPr="009F1089">
              <w:rPr>
                <w:sz w:val="20"/>
                <w:szCs w:val="20"/>
              </w:rPr>
              <w:t>organising</w:t>
            </w:r>
            <w:proofErr w:type="spellEnd"/>
            <w:r w:rsidR="009F1089" w:rsidRPr="009F1089">
              <w:rPr>
                <w:sz w:val="20"/>
                <w:szCs w:val="20"/>
              </w:rPr>
              <w:t xml:space="preserve"> with context</w:t>
            </w:r>
            <w:r w:rsidR="009F1089">
              <w:rPr>
                <w:sz w:val="20"/>
                <w:szCs w:val="20"/>
              </w:rPr>
              <w:t xml:space="preserve"> </w:t>
            </w:r>
            <w:r w:rsidR="009F1089" w:rsidRPr="009F1089">
              <w:rPr>
                <w:sz w:val="20"/>
                <w:szCs w:val="20"/>
              </w:rPr>
              <w:t xml:space="preserve">(Parsons &amp; Winters 2023: 30).  </w:t>
            </w:r>
            <w:r w:rsidR="009F1089">
              <w:rPr>
                <w:sz w:val="20"/>
                <w:szCs w:val="20"/>
              </w:rPr>
              <w:t xml:space="preserve">Agility will be needed in responding to emerging social-ecological crises. </w:t>
            </w:r>
          </w:p>
          <w:p w14:paraId="5CD43130" w14:textId="77777777" w:rsidR="00ED78A0" w:rsidRPr="00C6495E" w:rsidRDefault="00ED78A0" w:rsidP="00ED78A0">
            <w:pPr>
              <w:rPr>
                <w:rFonts w:cs="Calibri"/>
                <w:sz w:val="20"/>
                <w:szCs w:val="20"/>
              </w:rPr>
            </w:pPr>
          </w:p>
          <w:p w14:paraId="536FD355" w14:textId="7D20EAEB" w:rsidR="00ED78A0" w:rsidRPr="00C6495E" w:rsidRDefault="00ED78A0" w:rsidP="00ED78A0">
            <w:pPr>
              <w:rPr>
                <w:rFonts w:cs="Calibri"/>
                <w:b/>
                <w:bCs/>
                <w:sz w:val="20"/>
                <w:szCs w:val="20"/>
              </w:rPr>
            </w:pPr>
            <w:r w:rsidRPr="00C6495E">
              <w:rPr>
                <w:rFonts w:cs="Calibri"/>
                <w:b/>
                <w:bCs/>
                <w:sz w:val="20"/>
                <w:szCs w:val="20"/>
              </w:rPr>
              <w:t>Objectives</w:t>
            </w:r>
            <w:r w:rsidR="009F1089">
              <w:rPr>
                <w:rFonts w:cs="Calibri"/>
                <w:b/>
                <w:bCs/>
                <w:sz w:val="20"/>
                <w:szCs w:val="20"/>
              </w:rPr>
              <w:t xml:space="preserve"> of the presentation</w:t>
            </w:r>
          </w:p>
          <w:p w14:paraId="040B3601" w14:textId="13F4570F" w:rsidR="00ED78A0" w:rsidRPr="00C6495E" w:rsidRDefault="00ED78A0" w:rsidP="00ED78A0">
            <w:pPr>
              <w:rPr>
                <w:rFonts w:cs="Calibri"/>
                <w:sz w:val="20"/>
                <w:szCs w:val="20"/>
              </w:rPr>
            </w:pPr>
            <w:r w:rsidRPr="00C6495E">
              <w:rPr>
                <w:rFonts w:cs="Calibri"/>
                <w:sz w:val="20"/>
                <w:szCs w:val="20"/>
              </w:rPr>
              <w:t xml:space="preserve">To </w:t>
            </w:r>
            <w:r>
              <w:rPr>
                <w:rFonts w:cs="Calibri"/>
                <w:sz w:val="20"/>
                <w:szCs w:val="20"/>
              </w:rPr>
              <w:t xml:space="preserve">share examples of African </w:t>
            </w:r>
            <w:r w:rsidRPr="00C6495E">
              <w:rPr>
                <w:rFonts w:cs="Calibri"/>
                <w:sz w:val="20"/>
                <w:szCs w:val="20"/>
              </w:rPr>
              <w:t xml:space="preserve">national evaluation systems </w:t>
            </w:r>
            <w:r>
              <w:rPr>
                <w:rFonts w:cs="Calibri"/>
                <w:sz w:val="20"/>
                <w:szCs w:val="20"/>
              </w:rPr>
              <w:t>(NESs)</w:t>
            </w:r>
            <w:r w:rsidR="009F1089">
              <w:rPr>
                <w:rFonts w:cs="Calibri"/>
                <w:sz w:val="20"/>
                <w:szCs w:val="20"/>
              </w:rPr>
              <w:t xml:space="preserve"> from South Africa and Benin</w:t>
            </w:r>
            <w:r>
              <w:rPr>
                <w:rFonts w:cs="Calibri"/>
                <w:sz w:val="20"/>
                <w:szCs w:val="20"/>
              </w:rPr>
              <w:t xml:space="preserve">, how they </w:t>
            </w:r>
            <w:r w:rsidR="00D76645">
              <w:rPr>
                <w:rFonts w:cs="Calibri"/>
                <w:sz w:val="20"/>
                <w:szCs w:val="20"/>
              </w:rPr>
              <w:t xml:space="preserve">struggle to moving away from machine-based bureaucracy to </w:t>
            </w:r>
            <w:r>
              <w:rPr>
                <w:rFonts w:cs="Calibri"/>
                <w:sz w:val="20"/>
                <w:szCs w:val="20"/>
              </w:rPr>
              <w:t xml:space="preserve">apply elements of a </w:t>
            </w:r>
            <w:proofErr w:type="spellStart"/>
            <w:r>
              <w:rPr>
                <w:rFonts w:cs="Calibri"/>
                <w:sz w:val="20"/>
                <w:szCs w:val="20"/>
              </w:rPr>
              <w:t>decolonised</w:t>
            </w:r>
            <w:proofErr w:type="spellEnd"/>
            <w:r>
              <w:rPr>
                <w:rFonts w:cs="Calibri"/>
                <w:sz w:val="20"/>
                <w:szCs w:val="20"/>
              </w:rPr>
              <w:t xml:space="preserve"> social-ecological model</w:t>
            </w:r>
            <w:r w:rsidR="009F1089">
              <w:rPr>
                <w:rFonts w:cs="Calibri"/>
                <w:sz w:val="20"/>
                <w:szCs w:val="20"/>
              </w:rPr>
              <w:t>s</w:t>
            </w:r>
            <w:r>
              <w:rPr>
                <w:rFonts w:cs="Calibri"/>
                <w:sz w:val="20"/>
                <w:szCs w:val="20"/>
              </w:rPr>
              <w:t xml:space="preserve">, and how </w:t>
            </w:r>
            <w:r w:rsidR="008D0A2B">
              <w:rPr>
                <w:rFonts w:cs="Calibri"/>
                <w:sz w:val="20"/>
                <w:szCs w:val="20"/>
              </w:rPr>
              <w:t>to</w:t>
            </w:r>
            <w:r>
              <w:rPr>
                <w:rFonts w:cs="Calibri"/>
                <w:sz w:val="20"/>
                <w:szCs w:val="20"/>
              </w:rPr>
              <w:t xml:space="preserve"> strengthen</w:t>
            </w:r>
            <w:r w:rsidR="008D0A2B">
              <w:rPr>
                <w:rFonts w:cs="Calibri"/>
                <w:sz w:val="20"/>
                <w:szCs w:val="20"/>
              </w:rPr>
              <w:t xml:space="preserve"> them</w:t>
            </w:r>
            <w:r>
              <w:rPr>
                <w:rFonts w:cs="Calibri"/>
                <w:sz w:val="20"/>
                <w:szCs w:val="20"/>
              </w:rPr>
              <w:t xml:space="preserve"> to improve just transition outcomes</w:t>
            </w:r>
            <w:r w:rsidRPr="00C6495E">
              <w:rPr>
                <w:rFonts w:cs="Calibri"/>
                <w:sz w:val="20"/>
                <w:szCs w:val="20"/>
              </w:rPr>
              <w:t>.</w:t>
            </w:r>
            <w:r>
              <w:rPr>
                <w:rFonts w:cs="Calibri"/>
                <w:sz w:val="20"/>
                <w:szCs w:val="20"/>
              </w:rPr>
              <w:t xml:space="preserve"> This will draw on an existing paper and work being led by the International Evaluation Academy to explore these issues</w:t>
            </w:r>
            <w:r w:rsidR="009F1089">
              <w:rPr>
                <w:rFonts w:cs="Calibri"/>
                <w:sz w:val="20"/>
                <w:szCs w:val="20"/>
              </w:rPr>
              <w:t xml:space="preserve"> and apply them, initially in an African context.</w:t>
            </w:r>
          </w:p>
          <w:p w14:paraId="4799726B" w14:textId="77777777" w:rsidR="00ED78A0" w:rsidRPr="00C6495E" w:rsidRDefault="00ED78A0" w:rsidP="00ED78A0">
            <w:pPr>
              <w:rPr>
                <w:rFonts w:cs="Calibri"/>
                <w:sz w:val="20"/>
                <w:szCs w:val="20"/>
              </w:rPr>
            </w:pPr>
          </w:p>
          <w:p w14:paraId="64C75FF7" w14:textId="77777777" w:rsidR="00ED78A0" w:rsidRPr="00C6495E" w:rsidRDefault="00ED78A0" w:rsidP="00ED78A0">
            <w:pPr>
              <w:rPr>
                <w:rFonts w:cs="Calibri"/>
                <w:b/>
                <w:bCs/>
                <w:sz w:val="20"/>
                <w:szCs w:val="20"/>
              </w:rPr>
            </w:pPr>
            <w:r w:rsidRPr="00C6495E">
              <w:rPr>
                <w:rFonts w:cs="Calibri"/>
                <w:b/>
                <w:bCs/>
                <w:sz w:val="20"/>
                <w:szCs w:val="20"/>
              </w:rPr>
              <w:t>Conclusions</w:t>
            </w:r>
          </w:p>
          <w:p w14:paraId="3A4FE51A" w14:textId="6D706EE2" w:rsidR="009F1089" w:rsidRDefault="008D0A2B" w:rsidP="00ED78A0">
            <w:pPr>
              <w:rPr>
                <w:rFonts w:cs="Calibri"/>
                <w:sz w:val="20"/>
                <w:szCs w:val="20"/>
              </w:rPr>
            </w:pPr>
            <w:r>
              <w:rPr>
                <w:rFonts w:cs="Calibri"/>
                <w:sz w:val="20"/>
                <w:szCs w:val="20"/>
              </w:rPr>
              <w:t>S</w:t>
            </w:r>
            <w:r w:rsidR="009F1089" w:rsidRPr="009F1089">
              <w:rPr>
                <w:rFonts w:cs="Calibri"/>
                <w:sz w:val="20"/>
                <w:szCs w:val="20"/>
              </w:rPr>
              <w:t>tate-led national evaluation systems currently operate within a hybridity of colonial and post-colonial systems, with structures, norms and standards that lean towards machine-based modalities, while being affected by group norms which may subvert routine functioning. This is to be understood, owing to the significant influence of colonial systems on the countries in these case-studies, and most others across the African continent, as well as the weakness of many government institutions.</w:t>
            </w:r>
          </w:p>
          <w:p w14:paraId="5D6E320A" w14:textId="77777777" w:rsidR="009F1089" w:rsidRDefault="009F1089" w:rsidP="00ED78A0">
            <w:pPr>
              <w:rPr>
                <w:rFonts w:cs="Calibri"/>
                <w:sz w:val="20"/>
                <w:szCs w:val="20"/>
              </w:rPr>
            </w:pPr>
          </w:p>
          <w:p w14:paraId="199235BD" w14:textId="51213E81" w:rsidR="009F1089" w:rsidRDefault="009F1089" w:rsidP="00ED78A0">
            <w:pPr>
              <w:rPr>
                <w:rFonts w:cs="Calibri"/>
                <w:sz w:val="20"/>
                <w:szCs w:val="20"/>
              </w:rPr>
            </w:pPr>
            <w:r w:rsidRPr="009F1089">
              <w:rPr>
                <w:rFonts w:cs="Calibri"/>
                <w:sz w:val="20"/>
                <w:szCs w:val="20"/>
              </w:rPr>
              <w:t xml:space="preserve">The weak inclusion of citizens in government evaluations is an area that creates a leaning towards machine-based systems, where citizens are </w:t>
            </w:r>
            <w:r w:rsidR="00D76645">
              <w:rPr>
                <w:rFonts w:cs="Calibri"/>
                <w:sz w:val="20"/>
                <w:szCs w:val="20"/>
              </w:rPr>
              <w:t>barely</w:t>
            </w:r>
            <w:r w:rsidRPr="009F1089">
              <w:rPr>
                <w:rFonts w:cs="Calibri"/>
                <w:sz w:val="20"/>
                <w:szCs w:val="20"/>
              </w:rPr>
              <w:t xml:space="preserve"> considered in any bureaucratic affairs, and to predefined outcomes set by outsiders, rather than those perceived and desired by those affected by interventions. The system balances between the rule-focused, machine-based systems, and more open, ecology-based systems. The balancing of these institution-shaping paradigms is one of the most important concerns for national evaluation systems today.</w:t>
            </w:r>
          </w:p>
          <w:p w14:paraId="0A75C7AA" w14:textId="77777777" w:rsidR="009F1089" w:rsidRDefault="009F1089" w:rsidP="00ED78A0">
            <w:pPr>
              <w:rPr>
                <w:rFonts w:cs="Calibri"/>
                <w:sz w:val="20"/>
                <w:szCs w:val="20"/>
              </w:rPr>
            </w:pPr>
          </w:p>
          <w:p w14:paraId="175F167C" w14:textId="2614E3D9" w:rsidR="00C4707F" w:rsidRPr="00ED78A0" w:rsidRDefault="00ED78A0" w:rsidP="00ED78A0">
            <w:r>
              <w:rPr>
                <w:rFonts w:cs="Calibri"/>
                <w:sz w:val="20"/>
                <w:szCs w:val="20"/>
              </w:rPr>
              <w:t>W</w:t>
            </w:r>
            <w:r w:rsidRPr="00025245">
              <w:rPr>
                <w:rFonts w:cs="Calibri"/>
                <w:sz w:val="20"/>
                <w:szCs w:val="20"/>
              </w:rPr>
              <w:t>e argue for: (1) allow</w:t>
            </w:r>
            <w:r>
              <w:rPr>
                <w:rFonts w:cs="Calibri"/>
                <w:sz w:val="20"/>
                <w:szCs w:val="20"/>
              </w:rPr>
              <w:t>ing</w:t>
            </w:r>
            <w:r w:rsidRPr="00025245">
              <w:rPr>
                <w:rFonts w:cs="Calibri"/>
                <w:sz w:val="20"/>
                <w:szCs w:val="20"/>
              </w:rPr>
              <w:t xml:space="preserve"> </w:t>
            </w:r>
            <w:r>
              <w:rPr>
                <w:rFonts w:cs="Calibri"/>
                <w:sz w:val="20"/>
                <w:szCs w:val="20"/>
              </w:rPr>
              <w:t>NESs</w:t>
            </w:r>
            <w:r w:rsidRPr="00025245">
              <w:rPr>
                <w:rFonts w:cs="Calibri"/>
                <w:sz w:val="20"/>
                <w:szCs w:val="20"/>
              </w:rPr>
              <w:t xml:space="preserve"> to break from historical forms of bureaucratic functioning; (2)  developing a systems-based </w:t>
            </w:r>
            <w:r>
              <w:rPr>
                <w:rFonts w:cs="Calibri"/>
                <w:sz w:val="20"/>
                <w:szCs w:val="20"/>
              </w:rPr>
              <w:t>approach</w:t>
            </w:r>
            <w:r w:rsidRPr="00025245">
              <w:rPr>
                <w:rFonts w:cs="Calibri"/>
                <w:sz w:val="20"/>
                <w:szCs w:val="20"/>
              </w:rPr>
              <w:t xml:space="preserve"> as the basis for new thinking around </w:t>
            </w:r>
            <w:r>
              <w:rPr>
                <w:rFonts w:cs="Calibri"/>
                <w:sz w:val="20"/>
                <w:szCs w:val="20"/>
              </w:rPr>
              <w:t>NESs</w:t>
            </w:r>
            <w:r w:rsidRPr="00025245">
              <w:rPr>
                <w:rFonts w:cs="Calibri"/>
                <w:sz w:val="20"/>
                <w:szCs w:val="20"/>
              </w:rPr>
              <w:t xml:space="preserve">, </w:t>
            </w:r>
            <w:r>
              <w:rPr>
                <w:rFonts w:cs="Calibri"/>
                <w:sz w:val="20"/>
                <w:szCs w:val="20"/>
              </w:rPr>
              <w:t>strengthening</w:t>
            </w:r>
            <w:r w:rsidRPr="00025245">
              <w:rPr>
                <w:rFonts w:cs="Calibri"/>
                <w:sz w:val="20"/>
                <w:szCs w:val="20"/>
              </w:rPr>
              <w:t xml:space="preserve"> </w:t>
            </w:r>
            <w:r>
              <w:rPr>
                <w:rFonts w:cs="Calibri"/>
                <w:sz w:val="20"/>
                <w:szCs w:val="20"/>
              </w:rPr>
              <w:t xml:space="preserve">their </w:t>
            </w:r>
            <w:r w:rsidRPr="00025245">
              <w:rPr>
                <w:rFonts w:cs="Calibri"/>
                <w:sz w:val="20"/>
                <w:szCs w:val="20"/>
              </w:rPr>
              <w:t xml:space="preserve">ecological </w:t>
            </w:r>
            <w:r>
              <w:rPr>
                <w:rFonts w:cs="Calibri"/>
                <w:sz w:val="20"/>
                <w:szCs w:val="20"/>
              </w:rPr>
              <w:t>aspects</w:t>
            </w:r>
            <w:r w:rsidRPr="00025245">
              <w:rPr>
                <w:rFonts w:cs="Calibri"/>
                <w:sz w:val="20"/>
                <w:szCs w:val="20"/>
              </w:rPr>
              <w:t xml:space="preserve">; (3) embracing the learning approaches we see in both countries; (4) embracing principles of participatory democracy and co-production by strengthening the voice of non-state actors, particularly citizens, in the formation </w:t>
            </w:r>
            <w:r w:rsidR="009F1089">
              <w:rPr>
                <w:rFonts w:cs="Calibri"/>
                <w:sz w:val="20"/>
                <w:szCs w:val="20"/>
              </w:rPr>
              <w:t xml:space="preserve">and running </w:t>
            </w:r>
            <w:r w:rsidRPr="00025245">
              <w:rPr>
                <w:rFonts w:cs="Calibri"/>
                <w:sz w:val="20"/>
                <w:szCs w:val="20"/>
              </w:rPr>
              <w:t xml:space="preserve">of </w:t>
            </w:r>
            <w:r>
              <w:rPr>
                <w:rFonts w:cs="Calibri"/>
                <w:sz w:val="20"/>
                <w:szCs w:val="20"/>
              </w:rPr>
              <w:t>NESs</w:t>
            </w:r>
            <w:r w:rsidR="009F1089">
              <w:rPr>
                <w:rFonts w:cs="Calibri"/>
                <w:sz w:val="20"/>
                <w:szCs w:val="20"/>
              </w:rPr>
              <w:t>, as well as increasing the power of communities/users affected in individual evaluations</w:t>
            </w:r>
            <w:r w:rsidRPr="00025245">
              <w:rPr>
                <w:rFonts w:cs="Calibri"/>
                <w:sz w:val="20"/>
                <w:szCs w:val="20"/>
              </w:rPr>
              <w:t>.</w:t>
            </w:r>
          </w:p>
        </w:tc>
      </w:tr>
    </w:tbl>
    <w:p w14:paraId="4D0C7F26" w14:textId="42C050D8" w:rsidR="00B213A7" w:rsidRPr="00B213A7" w:rsidRDefault="00B213A7" w:rsidP="00C4707F">
      <w:pPr>
        <w:rPr>
          <w:rFonts w:cstheme="minorHAnsi"/>
        </w:rPr>
      </w:pPr>
    </w:p>
    <w:sectPr w:rsidR="00B213A7" w:rsidRPr="00B213A7" w:rsidSect="00E7518F">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B6C1" w14:textId="77777777" w:rsidR="005E2387" w:rsidRDefault="005E2387" w:rsidP="00D2741A">
      <w:pPr>
        <w:spacing w:after="0" w:line="240" w:lineRule="auto"/>
      </w:pPr>
      <w:r>
        <w:separator/>
      </w:r>
    </w:p>
  </w:endnote>
  <w:endnote w:type="continuationSeparator" w:id="0">
    <w:p w14:paraId="580FCAC5" w14:textId="77777777" w:rsidR="005E2387" w:rsidRDefault="005E2387" w:rsidP="00D2741A">
      <w:pPr>
        <w:spacing w:after="0" w:line="240" w:lineRule="auto"/>
      </w:pPr>
      <w:r>
        <w:continuationSeparator/>
      </w:r>
    </w:p>
  </w:endnote>
  <w:endnote w:type="continuationNotice" w:id="1">
    <w:p w14:paraId="48F403FE" w14:textId="77777777" w:rsidR="005E2387" w:rsidRDefault="005E2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794D" w14:textId="77777777" w:rsidR="005E2387" w:rsidRDefault="005E2387" w:rsidP="00D2741A">
      <w:pPr>
        <w:spacing w:after="0" w:line="240" w:lineRule="auto"/>
      </w:pPr>
      <w:r>
        <w:separator/>
      </w:r>
    </w:p>
  </w:footnote>
  <w:footnote w:type="continuationSeparator" w:id="0">
    <w:p w14:paraId="15F2AB9C" w14:textId="77777777" w:rsidR="005E2387" w:rsidRDefault="005E2387" w:rsidP="00D2741A">
      <w:pPr>
        <w:spacing w:after="0" w:line="240" w:lineRule="auto"/>
      </w:pPr>
      <w:r>
        <w:continuationSeparator/>
      </w:r>
    </w:p>
  </w:footnote>
  <w:footnote w:type="continuationNotice" w:id="1">
    <w:p w14:paraId="4E374495" w14:textId="77777777" w:rsidR="005E2387" w:rsidRDefault="005E23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2"/>
  </w:num>
  <w:num w:numId="5" w16cid:durableId="873470581">
    <w:abstractNumId w:val="2"/>
  </w:num>
  <w:num w:numId="6" w16cid:durableId="1793284354">
    <w:abstractNumId w:val="10"/>
  </w:num>
  <w:num w:numId="7" w16cid:durableId="246155892">
    <w:abstractNumId w:val="4"/>
  </w:num>
  <w:num w:numId="8" w16cid:durableId="1606843836">
    <w:abstractNumId w:val="6"/>
  </w:num>
  <w:num w:numId="9" w16cid:durableId="1746680057">
    <w:abstractNumId w:val="9"/>
  </w:num>
  <w:num w:numId="10" w16cid:durableId="1913348281">
    <w:abstractNumId w:val="11"/>
  </w:num>
  <w:num w:numId="11" w16cid:durableId="1346134980">
    <w:abstractNumId w:val="5"/>
  </w:num>
  <w:num w:numId="12" w16cid:durableId="632173441">
    <w:abstractNumId w:val="1"/>
  </w:num>
  <w:num w:numId="13" w16cid:durableId="2000224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55AF"/>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1E45"/>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87823"/>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437"/>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2387"/>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092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4D83"/>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29D0"/>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0A2B"/>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1089"/>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30B"/>
    <w:rsid w:val="00C37891"/>
    <w:rsid w:val="00C37D10"/>
    <w:rsid w:val="00C40835"/>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6645"/>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895"/>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D78A0"/>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u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2.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4.xml><?xml version="1.0" encoding="utf-8"?>
<ds:datastoreItem xmlns:ds="http://schemas.openxmlformats.org/officeDocument/2006/customXml" ds:itemID="{2F729F8A-0A6A-4AC0-A91D-D41185843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717</Words>
  <Characters>4089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Ian Goldman</cp:lastModifiedBy>
  <cp:revision>2</cp:revision>
  <cp:lastPrinted>2022-03-10T21:45:00Z</cp:lastPrinted>
  <dcterms:created xsi:type="dcterms:W3CDTF">2024-06-28T16:47:00Z</dcterms:created>
  <dcterms:modified xsi:type="dcterms:W3CDTF">2024-06-28T16:47:00Z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