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602E" w14:textId="4B142FD3" w:rsidR="00E31769" w:rsidRDefault="00E31769">
      <w:pPr>
        <w:rPr>
          <w:rFonts w:eastAsiaTheme="majorEastAsia" w:cstheme="minorHAnsi"/>
          <w:color w:val="2F5496" w:themeColor="accent1" w:themeShade="BF"/>
        </w:rPr>
      </w:pPr>
      <w:bookmarkStart w:id="0" w:name="_Hlk97649666"/>
    </w:p>
    <w:p w14:paraId="5292F9B4" w14:textId="45E81109" w:rsidR="00E157EC" w:rsidRDefault="00364998" w:rsidP="00E157EC">
      <w:pPr>
        <w:pStyle w:val="Heading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p w14:paraId="76B8E8D2" w14:textId="77777777" w:rsidR="00E559BF" w:rsidRPr="00E559BF" w:rsidRDefault="00E559BF" w:rsidP="00E559BF"/>
    <w:p w14:paraId="4DE0EA25" w14:textId="77777777" w:rsidR="00E559BF" w:rsidRDefault="00E559BF" w:rsidP="00E559BF"/>
    <w:p w14:paraId="66EF2F1F" w14:textId="77777777" w:rsidR="00E559BF" w:rsidRDefault="00E559BF" w:rsidP="00E559BF"/>
    <w:p w14:paraId="1C4C1EE8" w14:textId="77777777" w:rsidR="00E559BF" w:rsidRPr="00E559BF" w:rsidRDefault="00E559BF" w:rsidP="00E559BF"/>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585"/>
        <w:gridCol w:w="5490"/>
      </w:tblGrid>
      <w:tr w:rsidR="009368D6" w:rsidRPr="00D87AB7" w14:paraId="1B8847CB" w14:textId="77777777" w:rsidTr="008B4DC4">
        <w:trPr>
          <w:trHeight w:val="296"/>
        </w:trPr>
        <w:tc>
          <w:tcPr>
            <w:tcW w:w="4585" w:type="dxa"/>
          </w:tcPr>
          <w:p w14:paraId="5A786D43" w14:textId="77777777" w:rsidR="009368D6" w:rsidRPr="00D87AB7" w:rsidRDefault="009368D6" w:rsidP="002177CD">
            <w:pPr>
              <w:spacing w:after="120"/>
              <w:contextualSpacing/>
              <w:jc w:val="both"/>
              <w:rPr>
                <w:rFonts w:asciiTheme="majorHAnsi" w:hAnsiTheme="majorHAnsi" w:cstheme="majorHAnsi"/>
              </w:rPr>
            </w:pPr>
            <w:r w:rsidRPr="00D87AB7">
              <w:rPr>
                <w:rFonts w:asciiTheme="majorHAnsi" w:hAnsiTheme="majorHAnsi" w:cstheme="majorHAnsi"/>
              </w:rPr>
              <w:t>Presenter’s full name (title, name, surname)</w:t>
            </w:r>
          </w:p>
        </w:tc>
        <w:tc>
          <w:tcPr>
            <w:tcW w:w="5490" w:type="dxa"/>
          </w:tcPr>
          <w:p w14:paraId="5904784F" w14:textId="3EE8984B" w:rsidR="009368D6" w:rsidRPr="00D87AB7" w:rsidRDefault="008B4DC4" w:rsidP="002177CD">
            <w:pPr>
              <w:spacing w:after="120"/>
              <w:contextualSpacing/>
              <w:jc w:val="both"/>
              <w:rPr>
                <w:rFonts w:asciiTheme="majorHAnsi" w:hAnsiTheme="majorHAnsi" w:cstheme="majorHAnsi"/>
              </w:rPr>
            </w:pPr>
            <w:r w:rsidRPr="00D87AB7">
              <w:rPr>
                <w:rFonts w:asciiTheme="majorHAnsi" w:hAnsiTheme="majorHAnsi" w:cstheme="majorHAnsi"/>
              </w:rPr>
              <w:t>Mr. Umakant Singh</w:t>
            </w:r>
          </w:p>
        </w:tc>
      </w:tr>
      <w:tr w:rsidR="009368D6" w:rsidRPr="00D87AB7" w14:paraId="79455444" w14:textId="77777777" w:rsidTr="008B4DC4">
        <w:trPr>
          <w:trHeight w:val="282"/>
        </w:trPr>
        <w:tc>
          <w:tcPr>
            <w:tcW w:w="4585" w:type="dxa"/>
          </w:tcPr>
          <w:p w14:paraId="5636E919" w14:textId="77777777" w:rsidR="009368D6" w:rsidRPr="00D87AB7" w:rsidRDefault="009368D6" w:rsidP="002177CD">
            <w:pPr>
              <w:spacing w:after="120"/>
              <w:contextualSpacing/>
              <w:jc w:val="both"/>
              <w:rPr>
                <w:rFonts w:asciiTheme="majorHAnsi" w:hAnsiTheme="majorHAnsi" w:cstheme="majorHAnsi"/>
              </w:rPr>
            </w:pPr>
            <w:r w:rsidRPr="00D87AB7">
              <w:rPr>
                <w:rFonts w:asciiTheme="majorHAnsi" w:hAnsiTheme="majorHAnsi" w:cstheme="majorHAnsi"/>
              </w:rPr>
              <w:t>Nationality</w:t>
            </w:r>
          </w:p>
        </w:tc>
        <w:tc>
          <w:tcPr>
            <w:tcW w:w="5490" w:type="dxa"/>
          </w:tcPr>
          <w:p w14:paraId="13994052" w14:textId="61AB0409" w:rsidR="009368D6" w:rsidRPr="00D87AB7" w:rsidRDefault="008B4DC4" w:rsidP="002177CD">
            <w:pPr>
              <w:spacing w:after="120"/>
              <w:contextualSpacing/>
              <w:jc w:val="both"/>
              <w:rPr>
                <w:rFonts w:asciiTheme="majorHAnsi" w:hAnsiTheme="majorHAnsi" w:cstheme="majorHAnsi"/>
              </w:rPr>
            </w:pPr>
            <w:r w:rsidRPr="00D87AB7">
              <w:rPr>
                <w:rFonts w:asciiTheme="majorHAnsi" w:hAnsiTheme="majorHAnsi" w:cstheme="majorHAnsi"/>
              </w:rPr>
              <w:t>Indian</w:t>
            </w:r>
          </w:p>
        </w:tc>
      </w:tr>
      <w:tr w:rsidR="008350D6" w:rsidRPr="00D87AB7" w14:paraId="775E32F3" w14:textId="77777777" w:rsidTr="008B4DC4">
        <w:trPr>
          <w:trHeight w:val="282"/>
        </w:trPr>
        <w:tc>
          <w:tcPr>
            <w:tcW w:w="4585" w:type="dxa"/>
          </w:tcPr>
          <w:p w14:paraId="7CC10B56" w14:textId="12FA9172" w:rsidR="008350D6" w:rsidRPr="00D87AB7" w:rsidRDefault="008350D6" w:rsidP="002177CD">
            <w:pPr>
              <w:spacing w:after="120"/>
              <w:contextualSpacing/>
              <w:jc w:val="both"/>
              <w:rPr>
                <w:rFonts w:asciiTheme="majorHAnsi" w:hAnsiTheme="majorHAnsi" w:cstheme="majorHAnsi"/>
              </w:rPr>
            </w:pPr>
            <w:r w:rsidRPr="00D87AB7">
              <w:rPr>
                <w:rFonts w:asciiTheme="majorHAnsi" w:hAnsiTheme="majorHAnsi" w:cstheme="majorHAnsi"/>
              </w:rPr>
              <w:t>Gender</w:t>
            </w:r>
          </w:p>
        </w:tc>
        <w:tc>
          <w:tcPr>
            <w:tcW w:w="5490" w:type="dxa"/>
          </w:tcPr>
          <w:p w14:paraId="14DCD82F" w14:textId="2A7CE179" w:rsidR="008350D6" w:rsidRPr="00D87AB7" w:rsidRDefault="008B4DC4" w:rsidP="002177CD">
            <w:pPr>
              <w:spacing w:after="120"/>
              <w:contextualSpacing/>
              <w:jc w:val="both"/>
              <w:rPr>
                <w:rFonts w:asciiTheme="majorHAnsi" w:hAnsiTheme="majorHAnsi" w:cstheme="majorHAnsi"/>
              </w:rPr>
            </w:pPr>
            <w:r w:rsidRPr="00D87AB7">
              <w:rPr>
                <w:rFonts w:asciiTheme="majorHAnsi" w:hAnsiTheme="majorHAnsi" w:cstheme="majorHAnsi"/>
              </w:rPr>
              <w:t>Male</w:t>
            </w:r>
          </w:p>
        </w:tc>
      </w:tr>
      <w:tr w:rsidR="009368D6" w:rsidRPr="00D87AB7" w14:paraId="6FF79C1F" w14:textId="77777777" w:rsidTr="008B4DC4">
        <w:trPr>
          <w:trHeight w:val="282"/>
        </w:trPr>
        <w:tc>
          <w:tcPr>
            <w:tcW w:w="4585" w:type="dxa"/>
          </w:tcPr>
          <w:p w14:paraId="73BEA3AB" w14:textId="77777777" w:rsidR="009368D6" w:rsidRPr="00D87AB7" w:rsidRDefault="009368D6" w:rsidP="002177CD">
            <w:pPr>
              <w:spacing w:after="120"/>
              <w:contextualSpacing/>
              <w:jc w:val="both"/>
              <w:rPr>
                <w:rFonts w:asciiTheme="majorHAnsi" w:hAnsiTheme="majorHAnsi" w:cstheme="majorHAnsi"/>
              </w:rPr>
            </w:pPr>
            <w:r w:rsidRPr="00D87AB7">
              <w:rPr>
                <w:rFonts w:asciiTheme="majorHAnsi" w:hAnsiTheme="majorHAnsi" w:cstheme="majorHAnsi"/>
              </w:rPr>
              <w:t xml:space="preserve">Country of residence </w:t>
            </w:r>
          </w:p>
        </w:tc>
        <w:tc>
          <w:tcPr>
            <w:tcW w:w="5490" w:type="dxa"/>
          </w:tcPr>
          <w:p w14:paraId="7399D7C5" w14:textId="68F0EBED" w:rsidR="009368D6" w:rsidRPr="00D87AB7" w:rsidRDefault="008B4DC4" w:rsidP="002177CD">
            <w:pPr>
              <w:spacing w:after="120"/>
              <w:contextualSpacing/>
              <w:jc w:val="both"/>
              <w:rPr>
                <w:rFonts w:asciiTheme="majorHAnsi" w:hAnsiTheme="majorHAnsi" w:cstheme="majorHAnsi"/>
              </w:rPr>
            </w:pPr>
            <w:r w:rsidRPr="00D87AB7">
              <w:rPr>
                <w:rFonts w:asciiTheme="majorHAnsi" w:hAnsiTheme="majorHAnsi" w:cstheme="majorHAnsi"/>
              </w:rPr>
              <w:t>Myanmar</w:t>
            </w:r>
          </w:p>
        </w:tc>
      </w:tr>
      <w:tr w:rsidR="009368D6" w:rsidRPr="00D87AB7" w14:paraId="5BCA24A3" w14:textId="77777777" w:rsidTr="008B4DC4">
        <w:trPr>
          <w:trHeight w:val="282"/>
        </w:trPr>
        <w:tc>
          <w:tcPr>
            <w:tcW w:w="4585" w:type="dxa"/>
          </w:tcPr>
          <w:p w14:paraId="092D3F56" w14:textId="77777777" w:rsidR="009368D6" w:rsidRPr="00D87AB7" w:rsidRDefault="009368D6" w:rsidP="002177CD">
            <w:pPr>
              <w:spacing w:after="120"/>
              <w:contextualSpacing/>
              <w:jc w:val="both"/>
              <w:rPr>
                <w:rFonts w:asciiTheme="majorHAnsi" w:hAnsiTheme="majorHAnsi" w:cstheme="majorHAnsi"/>
              </w:rPr>
            </w:pPr>
            <w:r w:rsidRPr="00D87AB7">
              <w:rPr>
                <w:rFonts w:asciiTheme="majorHAnsi" w:hAnsiTheme="majorHAnsi" w:cstheme="majorHAnsi"/>
              </w:rPr>
              <w:t>Institutional affiliation</w:t>
            </w:r>
          </w:p>
        </w:tc>
        <w:tc>
          <w:tcPr>
            <w:tcW w:w="5490" w:type="dxa"/>
          </w:tcPr>
          <w:p w14:paraId="27E37347" w14:textId="202C1AA5" w:rsidR="00D87AB7" w:rsidRPr="00D87AB7" w:rsidRDefault="008B4DC4" w:rsidP="00D87AB7">
            <w:pPr>
              <w:spacing w:after="120"/>
              <w:contextualSpacing/>
              <w:jc w:val="both"/>
              <w:rPr>
                <w:rFonts w:asciiTheme="majorHAnsi" w:hAnsiTheme="majorHAnsi" w:cstheme="majorHAnsi"/>
              </w:rPr>
            </w:pPr>
            <w:r w:rsidRPr="00D87AB7">
              <w:rPr>
                <w:rFonts w:asciiTheme="majorHAnsi" w:hAnsiTheme="majorHAnsi" w:cstheme="majorHAnsi"/>
              </w:rPr>
              <w:t>Aventura Research Myanmar Company Limited</w:t>
            </w:r>
          </w:p>
        </w:tc>
      </w:tr>
      <w:tr w:rsidR="009368D6" w:rsidRPr="00D87AB7" w14:paraId="4FFB5C55" w14:textId="77777777" w:rsidTr="008B4DC4">
        <w:trPr>
          <w:trHeight w:val="282"/>
        </w:trPr>
        <w:tc>
          <w:tcPr>
            <w:tcW w:w="4585" w:type="dxa"/>
          </w:tcPr>
          <w:p w14:paraId="74EC63BE" w14:textId="77777777" w:rsidR="009368D6" w:rsidRPr="00D87AB7" w:rsidRDefault="009368D6" w:rsidP="002177CD">
            <w:pPr>
              <w:spacing w:after="120"/>
              <w:contextualSpacing/>
              <w:jc w:val="both"/>
              <w:rPr>
                <w:rFonts w:asciiTheme="majorHAnsi" w:hAnsiTheme="majorHAnsi" w:cstheme="majorHAnsi"/>
              </w:rPr>
            </w:pPr>
            <w:r w:rsidRPr="00D87AB7">
              <w:rPr>
                <w:rFonts w:asciiTheme="majorHAnsi" w:hAnsiTheme="majorHAnsi" w:cstheme="majorHAnsi"/>
              </w:rPr>
              <w:t>Contact information including email and telephone</w:t>
            </w:r>
          </w:p>
        </w:tc>
        <w:tc>
          <w:tcPr>
            <w:tcW w:w="5490" w:type="dxa"/>
          </w:tcPr>
          <w:p w14:paraId="40E5709C" w14:textId="72AC3C30" w:rsidR="00D87AB7" w:rsidRDefault="00D87AB7" w:rsidP="002177CD">
            <w:pPr>
              <w:spacing w:after="120"/>
              <w:contextualSpacing/>
              <w:jc w:val="both"/>
              <w:rPr>
                <w:rFonts w:asciiTheme="majorHAnsi" w:hAnsiTheme="majorHAnsi" w:cstheme="majorHAnsi"/>
              </w:rPr>
            </w:pPr>
            <w:r>
              <w:rPr>
                <w:rFonts w:asciiTheme="majorHAnsi" w:hAnsiTheme="majorHAnsi" w:cstheme="majorHAnsi"/>
              </w:rPr>
              <w:t>Umakant Singh, Managing Director, Aventura Research Myanmar Company Limited.</w:t>
            </w:r>
          </w:p>
          <w:p w14:paraId="2BCD7CF3" w14:textId="03ADE2E0" w:rsidR="009368D6" w:rsidRPr="00D87AB7" w:rsidRDefault="008B4DC4" w:rsidP="002177CD">
            <w:pPr>
              <w:spacing w:after="120"/>
              <w:contextualSpacing/>
              <w:jc w:val="both"/>
              <w:rPr>
                <w:rFonts w:asciiTheme="majorHAnsi" w:hAnsiTheme="majorHAnsi" w:cstheme="majorHAnsi"/>
              </w:rPr>
            </w:pPr>
            <w:r w:rsidRPr="00D87AB7">
              <w:rPr>
                <w:rFonts w:asciiTheme="majorHAnsi" w:hAnsiTheme="majorHAnsi" w:cstheme="majorHAnsi"/>
              </w:rPr>
              <w:t xml:space="preserve">Email: </w:t>
            </w:r>
            <w:hyperlink r:id="rId11" w:history="1">
              <w:r w:rsidRPr="00D87AB7">
                <w:rPr>
                  <w:rStyle w:val="Hyperlink"/>
                  <w:rFonts w:asciiTheme="majorHAnsi" w:hAnsiTheme="majorHAnsi" w:cstheme="majorHAnsi"/>
                </w:rPr>
                <w:t>umakantsingh@arm-myanmar.com</w:t>
              </w:r>
            </w:hyperlink>
          </w:p>
          <w:p w14:paraId="2BBB6AC2" w14:textId="7E56B2CE" w:rsidR="008B4DC4" w:rsidRPr="00D87AB7" w:rsidRDefault="008B4DC4" w:rsidP="002177CD">
            <w:pPr>
              <w:spacing w:after="120"/>
              <w:contextualSpacing/>
              <w:jc w:val="both"/>
              <w:rPr>
                <w:rFonts w:asciiTheme="majorHAnsi" w:hAnsiTheme="majorHAnsi" w:cstheme="majorHAnsi"/>
              </w:rPr>
            </w:pPr>
            <w:r w:rsidRPr="00D87AB7">
              <w:rPr>
                <w:rFonts w:asciiTheme="majorHAnsi" w:hAnsiTheme="majorHAnsi" w:cstheme="majorHAnsi"/>
              </w:rPr>
              <w:t>Mobile: +95 9760837486</w:t>
            </w:r>
          </w:p>
        </w:tc>
      </w:tr>
      <w:tr w:rsidR="009368D6" w:rsidRPr="00D87AB7" w14:paraId="757D7A97" w14:textId="77777777" w:rsidTr="008B4DC4">
        <w:trPr>
          <w:trHeight w:val="282"/>
        </w:trPr>
        <w:tc>
          <w:tcPr>
            <w:tcW w:w="4585" w:type="dxa"/>
          </w:tcPr>
          <w:p w14:paraId="79120A22" w14:textId="77777777" w:rsidR="009368D6" w:rsidRPr="00D87AB7" w:rsidRDefault="009368D6" w:rsidP="002177CD">
            <w:pPr>
              <w:spacing w:after="120"/>
              <w:contextualSpacing/>
              <w:jc w:val="both"/>
              <w:rPr>
                <w:rFonts w:asciiTheme="majorHAnsi" w:hAnsiTheme="majorHAnsi" w:cstheme="majorHAnsi"/>
              </w:rPr>
            </w:pPr>
            <w:r w:rsidRPr="00D87AB7">
              <w:rPr>
                <w:rFonts w:asciiTheme="majorHAnsi" w:hAnsiTheme="majorHAnsi" w:cstheme="majorHAnsi"/>
              </w:rPr>
              <w:t>Title of the abstract</w:t>
            </w:r>
          </w:p>
        </w:tc>
        <w:tc>
          <w:tcPr>
            <w:tcW w:w="5490" w:type="dxa"/>
          </w:tcPr>
          <w:p w14:paraId="441BB1B6" w14:textId="656E1947" w:rsidR="009368D6" w:rsidRPr="00D87AB7" w:rsidRDefault="004B2EA9" w:rsidP="004B2EA9">
            <w:pPr>
              <w:pStyle w:val="NormalWeb"/>
              <w:rPr>
                <w:rFonts w:asciiTheme="majorHAnsi" w:hAnsiTheme="majorHAnsi" w:cstheme="majorHAnsi"/>
              </w:rPr>
            </w:pPr>
            <w:r w:rsidRPr="00D87AB7">
              <w:rPr>
                <w:rFonts w:asciiTheme="majorHAnsi" w:hAnsiTheme="majorHAnsi" w:cstheme="majorHAnsi"/>
              </w:rPr>
              <w:t>Citizen Engagement- Using Mobile SMS for Citizen’s Feedback on Government Services in Myanmar</w:t>
            </w:r>
          </w:p>
        </w:tc>
      </w:tr>
      <w:tr w:rsidR="009368D6" w:rsidRPr="00D87AB7" w14:paraId="04164196" w14:textId="77777777" w:rsidTr="008B4DC4">
        <w:trPr>
          <w:trHeight w:val="282"/>
        </w:trPr>
        <w:tc>
          <w:tcPr>
            <w:tcW w:w="4585" w:type="dxa"/>
          </w:tcPr>
          <w:p w14:paraId="69D4ED23" w14:textId="77777777" w:rsidR="009368D6" w:rsidRPr="00D87AB7" w:rsidRDefault="009368D6" w:rsidP="002177CD">
            <w:pPr>
              <w:spacing w:after="120"/>
              <w:contextualSpacing/>
              <w:jc w:val="both"/>
              <w:rPr>
                <w:rFonts w:asciiTheme="majorHAnsi" w:hAnsiTheme="majorHAnsi" w:cstheme="majorHAnsi"/>
              </w:rPr>
            </w:pPr>
            <w:r w:rsidRPr="00D87AB7">
              <w:rPr>
                <w:rFonts w:asciiTheme="majorHAnsi" w:hAnsiTheme="majorHAnsi" w:cstheme="majorHAnsi"/>
              </w:rPr>
              <w:t xml:space="preserve">Conference session </w:t>
            </w:r>
          </w:p>
        </w:tc>
        <w:tc>
          <w:tcPr>
            <w:tcW w:w="5490" w:type="dxa"/>
          </w:tcPr>
          <w:p w14:paraId="289A4257" w14:textId="50CA41C7" w:rsidR="009368D6" w:rsidRPr="00D87AB7" w:rsidRDefault="009368D6" w:rsidP="00993845">
            <w:pPr>
              <w:spacing w:after="120"/>
              <w:contextualSpacing/>
              <w:rPr>
                <w:rFonts w:asciiTheme="majorHAnsi" w:hAnsiTheme="majorHAnsi" w:cstheme="majorHAnsi"/>
              </w:rPr>
            </w:pPr>
            <w:r w:rsidRPr="00D87AB7">
              <w:rPr>
                <w:rFonts w:asciiTheme="majorHAnsi" w:hAnsiTheme="majorHAnsi" w:cstheme="majorHAnsi"/>
              </w:rPr>
              <w:t xml:space="preserve">□ </w:t>
            </w:r>
            <w:r w:rsidR="00BC1E41" w:rsidRPr="00D87AB7">
              <w:rPr>
                <w:rFonts w:asciiTheme="majorHAnsi" w:hAnsiTheme="majorHAnsi" w:cstheme="majorHAnsi"/>
              </w:rPr>
              <w:t xml:space="preserve">Stream A. </w:t>
            </w:r>
            <w:r w:rsidRPr="00D87AB7">
              <w:rPr>
                <w:rFonts w:asciiTheme="majorHAnsi" w:hAnsiTheme="majorHAnsi" w:cstheme="majorHAnsi"/>
              </w:rPr>
              <w:t>R</w:t>
            </w:r>
            <w:r w:rsidR="003E6831" w:rsidRPr="00D87AB7">
              <w:rPr>
                <w:rFonts w:asciiTheme="majorHAnsi" w:hAnsiTheme="majorHAnsi" w:cstheme="majorHAnsi"/>
              </w:rPr>
              <w:t xml:space="preserve">esponsive </w:t>
            </w:r>
            <w:r w:rsidR="005646A0" w:rsidRPr="00D87AB7">
              <w:rPr>
                <w:rFonts w:asciiTheme="majorHAnsi" w:hAnsiTheme="majorHAnsi" w:cstheme="majorHAnsi"/>
              </w:rPr>
              <w:t>N</w:t>
            </w:r>
            <w:r w:rsidRPr="00D87AB7">
              <w:rPr>
                <w:rFonts w:asciiTheme="majorHAnsi" w:hAnsiTheme="majorHAnsi" w:cstheme="majorHAnsi"/>
              </w:rPr>
              <w:t xml:space="preserve">ational </w:t>
            </w:r>
            <w:r w:rsidR="005646A0" w:rsidRPr="00D87AB7">
              <w:rPr>
                <w:rFonts w:asciiTheme="majorHAnsi" w:hAnsiTheme="majorHAnsi" w:cstheme="majorHAnsi"/>
              </w:rPr>
              <w:t>E</w:t>
            </w:r>
            <w:r w:rsidRPr="00D87AB7">
              <w:rPr>
                <w:rFonts w:asciiTheme="majorHAnsi" w:hAnsiTheme="majorHAnsi" w:cstheme="majorHAnsi"/>
              </w:rPr>
              <w:t xml:space="preserve">valuation </w:t>
            </w:r>
            <w:r w:rsidR="005646A0" w:rsidRPr="00D87AB7">
              <w:rPr>
                <w:rFonts w:asciiTheme="majorHAnsi" w:hAnsiTheme="majorHAnsi" w:cstheme="majorHAnsi"/>
              </w:rPr>
              <w:t>S</w:t>
            </w:r>
            <w:r w:rsidRPr="00D87AB7">
              <w:rPr>
                <w:rFonts w:asciiTheme="majorHAnsi" w:hAnsiTheme="majorHAnsi" w:cstheme="majorHAnsi"/>
              </w:rPr>
              <w:t xml:space="preserve">ystems </w:t>
            </w:r>
          </w:p>
          <w:p w14:paraId="214D00FB" w14:textId="77777777" w:rsidR="003E6831" w:rsidRPr="00D87AB7" w:rsidRDefault="003E6831" w:rsidP="00993845">
            <w:pPr>
              <w:spacing w:after="120"/>
              <w:contextualSpacing/>
              <w:rPr>
                <w:rFonts w:asciiTheme="majorHAnsi" w:hAnsiTheme="majorHAnsi" w:cstheme="majorHAnsi"/>
              </w:rPr>
            </w:pPr>
          </w:p>
          <w:p w14:paraId="65A35848" w14:textId="34F9A02A" w:rsidR="009368D6" w:rsidRPr="00D87AB7" w:rsidRDefault="008B4DC4" w:rsidP="00993845">
            <w:pPr>
              <w:spacing w:after="120"/>
              <w:contextualSpacing/>
              <w:rPr>
                <w:rFonts w:asciiTheme="majorHAnsi" w:hAnsiTheme="majorHAnsi" w:cstheme="majorHAnsi"/>
              </w:rPr>
            </w:pPr>
            <w:r w:rsidRPr="00D87AB7">
              <w:rPr>
                <w:rFonts w:ascii="Segoe UI Symbol" w:eastAsia="MS Gothic" w:hAnsi="Segoe UI Symbol" w:cs="Segoe UI Symbol"/>
              </w:rPr>
              <w:t>☑</w:t>
            </w:r>
            <w:r w:rsidR="009368D6" w:rsidRPr="00D87AB7">
              <w:rPr>
                <w:rFonts w:asciiTheme="majorHAnsi" w:hAnsiTheme="majorHAnsi" w:cstheme="majorHAnsi"/>
              </w:rPr>
              <w:t xml:space="preserve"> </w:t>
            </w:r>
            <w:r w:rsidR="00BC1E41" w:rsidRPr="00D87AB7">
              <w:rPr>
                <w:rFonts w:asciiTheme="majorHAnsi" w:hAnsiTheme="majorHAnsi" w:cstheme="majorHAnsi"/>
              </w:rPr>
              <w:t xml:space="preserve">Stream B. </w:t>
            </w:r>
            <w:r w:rsidR="003E6831" w:rsidRPr="00D87AB7">
              <w:rPr>
                <w:rFonts w:asciiTheme="majorHAnsi" w:hAnsiTheme="majorHAnsi" w:cstheme="majorHAnsi"/>
              </w:rPr>
              <w:t>Inclusive National Evaluation Systems</w:t>
            </w:r>
          </w:p>
          <w:p w14:paraId="7426A507" w14:textId="77777777" w:rsidR="003E6831" w:rsidRPr="00D87AB7" w:rsidRDefault="003E6831" w:rsidP="00993845">
            <w:pPr>
              <w:spacing w:after="120"/>
              <w:contextualSpacing/>
              <w:rPr>
                <w:rFonts w:asciiTheme="majorHAnsi" w:hAnsiTheme="majorHAnsi" w:cstheme="majorHAnsi"/>
              </w:rPr>
            </w:pPr>
          </w:p>
          <w:p w14:paraId="467EA895" w14:textId="0104737A" w:rsidR="009368D6" w:rsidRPr="00D87AB7" w:rsidRDefault="009368D6" w:rsidP="00993845">
            <w:pPr>
              <w:spacing w:after="120"/>
              <w:contextualSpacing/>
              <w:rPr>
                <w:rFonts w:asciiTheme="majorHAnsi" w:hAnsiTheme="majorHAnsi" w:cstheme="majorHAnsi"/>
              </w:rPr>
            </w:pPr>
            <w:r w:rsidRPr="00D87AB7">
              <w:rPr>
                <w:rFonts w:asciiTheme="majorHAnsi" w:hAnsiTheme="majorHAnsi" w:cstheme="majorHAnsi"/>
              </w:rPr>
              <w:t>□</w:t>
            </w:r>
            <w:r w:rsidR="0099376A" w:rsidRPr="00D87AB7">
              <w:rPr>
                <w:rFonts w:asciiTheme="majorHAnsi" w:hAnsiTheme="majorHAnsi" w:cstheme="majorHAnsi"/>
              </w:rPr>
              <w:t xml:space="preserve"> </w:t>
            </w:r>
            <w:r w:rsidR="00BC1E41" w:rsidRPr="00D87AB7">
              <w:rPr>
                <w:rFonts w:asciiTheme="majorHAnsi" w:hAnsiTheme="majorHAnsi" w:cstheme="majorHAnsi"/>
              </w:rPr>
              <w:t xml:space="preserve">Stream C. </w:t>
            </w:r>
            <w:r w:rsidR="003E6831" w:rsidRPr="00D87AB7">
              <w:rPr>
                <w:rFonts w:asciiTheme="majorHAnsi" w:hAnsiTheme="majorHAnsi" w:cstheme="majorHAnsi"/>
              </w:rPr>
              <w:t>Future Driven Systems and Approaches</w:t>
            </w:r>
            <w:r w:rsidRPr="00D87AB7">
              <w:rPr>
                <w:rFonts w:asciiTheme="majorHAnsi" w:hAnsiTheme="majorHAnsi" w:cstheme="majorHAnsi"/>
              </w:rPr>
              <w:t xml:space="preserve"> </w:t>
            </w:r>
          </w:p>
        </w:tc>
      </w:tr>
      <w:tr w:rsidR="009368D6" w:rsidRPr="00D87AB7" w14:paraId="5F6298DF" w14:textId="77777777" w:rsidTr="008B4DC4">
        <w:trPr>
          <w:trHeight w:val="282"/>
        </w:trPr>
        <w:tc>
          <w:tcPr>
            <w:tcW w:w="4585" w:type="dxa"/>
          </w:tcPr>
          <w:p w14:paraId="64DEC8B8" w14:textId="5760276C" w:rsidR="009368D6" w:rsidRPr="00D87AB7" w:rsidRDefault="009368D6" w:rsidP="006A2FD7">
            <w:pPr>
              <w:spacing w:after="120"/>
              <w:rPr>
                <w:rFonts w:asciiTheme="majorHAnsi" w:hAnsiTheme="majorHAnsi" w:cstheme="majorHAnsi"/>
              </w:rPr>
            </w:pPr>
            <w:r w:rsidRPr="00D87AB7">
              <w:rPr>
                <w:rFonts w:asciiTheme="majorHAnsi" w:hAnsiTheme="majorHAnsi" w:cstheme="majorHAnsi"/>
              </w:rPr>
              <w:t>Name(s), title(s) and institutional affiliation(s) of all other authors/contributors</w:t>
            </w:r>
            <w:r w:rsidR="008237C7" w:rsidRPr="00D87AB7">
              <w:rPr>
                <w:rFonts w:asciiTheme="majorHAnsi" w:hAnsiTheme="majorHAnsi" w:cstheme="majorHAnsi"/>
              </w:rPr>
              <w:t xml:space="preserve"> (if applicable)</w:t>
            </w:r>
          </w:p>
        </w:tc>
        <w:tc>
          <w:tcPr>
            <w:tcW w:w="5490" w:type="dxa"/>
          </w:tcPr>
          <w:p w14:paraId="51C721A5" w14:textId="77777777" w:rsidR="009368D6" w:rsidRPr="00D87AB7" w:rsidRDefault="009368D6" w:rsidP="002177CD">
            <w:pPr>
              <w:spacing w:after="120"/>
              <w:contextualSpacing/>
              <w:jc w:val="both"/>
              <w:rPr>
                <w:rFonts w:asciiTheme="majorHAnsi" w:hAnsiTheme="majorHAnsi" w:cstheme="majorHAnsi"/>
              </w:rPr>
            </w:pPr>
          </w:p>
        </w:tc>
      </w:tr>
      <w:tr w:rsidR="009368D6" w:rsidRPr="00D87AB7" w14:paraId="2E50B982" w14:textId="77777777" w:rsidTr="008B4DC4">
        <w:trPr>
          <w:trHeight w:val="282"/>
        </w:trPr>
        <w:tc>
          <w:tcPr>
            <w:tcW w:w="4585" w:type="dxa"/>
          </w:tcPr>
          <w:p w14:paraId="648F8C5C" w14:textId="77777777" w:rsidR="009368D6" w:rsidRPr="00D87AB7" w:rsidRDefault="009368D6" w:rsidP="002177CD">
            <w:pPr>
              <w:spacing w:after="120"/>
              <w:jc w:val="both"/>
              <w:rPr>
                <w:rFonts w:asciiTheme="majorHAnsi" w:hAnsiTheme="majorHAnsi" w:cstheme="majorHAnsi"/>
              </w:rPr>
            </w:pPr>
            <w:r w:rsidRPr="00D87AB7">
              <w:rPr>
                <w:rFonts w:asciiTheme="majorHAnsi" w:hAnsiTheme="majorHAnsi" w:cstheme="majorHAnsi"/>
              </w:rPr>
              <w:t xml:space="preserve">Preferred format: </w:t>
            </w:r>
          </w:p>
        </w:tc>
        <w:tc>
          <w:tcPr>
            <w:tcW w:w="5490" w:type="dxa"/>
          </w:tcPr>
          <w:p w14:paraId="72088E18" w14:textId="141D314B" w:rsidR="009368D6" w:rsidRPr="00D87AB7" w:rsidRDefault="009368D6" w:rsidP="00797E83">
            <w:pPr>
              <w:pStyle w:val="CommentText"/>
              <w:ind w:left="0"/>
              <w:rPr>
                <w:rFonts w:asciiTheme="majorHAnsi" w:hAnsiTheme="majorHAnsi" w:cstheme="majorHAnsi"/>
                <w:sz w:val="22"/>
                <w:szCs w:val="22"/>
              </w:rPr>
            </w:pPr>
            <w:r w:rsidRPr="00D87AB7">
              <w:rPr>
                <w:rFonts w:asciiTheme="majorHAnsi" w:hAnsiTheme="majorHAnsi" w:cstheme="majorHAnsi"/>
                <w:sz w:val="22"/>
                <w:szCs w:val="22"/>
              </w:rPr>
              <w:t>□ Formal presentation (maximum 1</w:t>
            </w:r>
            <w:r w:rsidR="00175EFE" w:rsidRPr="00D87AB7">
              <w:rPr>
                <w:rFonts w:asciiTheme="majorHAnsi" w:hAnsiTheme="majorHAnsi" w:cstheme="majorHAnsi"/>
                <w:sz w:val="22"/>
                <w:szCs w:val="22"/>
              </w:rPr>
              <w:t>0</w:t>
            </w:r>
            <w:r w:rsidRPr="00D87AB7">
              <w:rPr>
                <w:rFonts w:asciiTheme="majorHAnsi" w:hAnsiTheme="majorHAnsi" w:cstheme="majorHAnsi"/>
                <w:sz w:val="22"/>
                <w:szCs w:val="22"/>
              </w:rPr>
              <w:t xml:space="preserve"> minutes)</w:t>
            </w:r>
          </w:p>
          <w:p w14:paraId="4D402568" w14:textId="77777777" w:rsidR="009368D6" w:rsidRPr="00D87AB7" w:rsidRDefault="009368D6" w:rsidP="00797E83">
            <w:pPr>
              <w:pStyle w:val="CommentText"/>
              <w:ind w:left="179" w:hanging="179"/>
              <w:rPr>
                <w:rFonts w:asciiTheme="majorHAnsi" w:hAnsiTheme="majorHAnsi" w:cstheme="majorHAnsi"/>
                <w:sz w:val="22"/>
                <w:szCs w:val="22"/>
              </w:rPr>
            </w:pPr>
            <w:r w:rsidRPr="00D87AB7">
              <w:rPr>
                <w:rFonts w:asciiTheme="majorHAnsi" w:hAnsiTheme="majorHAnsi" w:cstheme="majorHAnsi"/>
                <w:sz w:val="22"/>
                <w:szCs w:val="22"/>
              </w:rPr>
              <w:t>□ Participation in a panel discussion where the experience can be shared</w:t>
            </w:r>
          </w:p>
          <w:p w14:paraId="30E7D5D5" w14:textId="34A3C65F" w:rsidR="009368D6" w:rsidRPr="00D87AB7" w:rsidRDefault="008B4DC4" w:rsidP="00797E83">
            <w:pPr>
              <w:pStyle w:val="CommentText"/>
              <w:ind w:left="179" w:hanging="179"/>
              <w:rPr>
                <w:rFonts w:asciiTheme="majorHAnsi" w:hAnsiTheme="majorHAnsi" w:cstheme="majorHAnsi"/>
                <w:sz w:val="22"/>
                <w:szCs w:val="22"/>
              </w:rPr>
            </w:pPr>
            <w:r w:rsidRPr="00D87AB7">
              <w:rPr>
                <w:rFonts w:ascii="Segoe UI Symbol" w:eastAsia="MS Gothic" w:hAnsi="Segoe UI Symbol" w:cs="Segoe UI Symbol"/>
              </w:rPr>
              <w:t>☑</w:t>
            </w:r>
            <w:r w:rsidR="009368D6" w:rsidRPr="00D87AB7">
              <w:rPr>
                <w:rFonts w:asciiTheme="majorHAnsi" w:hAnsiTheme="majorHAnsi" w:cstheme="majorHAnsi"/>
                <w:sz w:val="22"/>
                <w:szCs w:val="22"/>
              </w:rPr>
              <w:t xml:space="preserve"> Participation in an interactive session where the example can be shared, without a formal presentation</w:t>
            </w:r>
          </w:p>
          <w:p w14:paraId="4903180E" w14:textId="77777777" w:rsidR="009368D6" w:rsidRPr="00D87AB7" w:rsidRDefault="009368D6" w:rsidP="00797E83">
            <w:pPr>
              <w:pStyle w:val="CommentText"/>
              <w:ind w:left="0"/>
              <w:rPr>
                <w:rFonts w:asciiTheme="majorHAnsi" w:hAnsiTheme="majorHAnsi" w:cstheme="majorHAnsi"/>
                <w:sz w:val="22"/>
                <w:szCs w:val="22"/>
              </w:rPr>
            </w:pPr>
            <w:r w:rsidRPr="00D87AB7">
              <w:rPr>
                <w:rFonts w:asciiTheme="majorHAnsi" w:hAnsiTheme="majorHAnsi" w:cstheme="majorHAnsi"/>
                <w:sz w:val="22"/>
                <w:szCs w:val="22"/>
              </w:rPr>
              <w:t>□ Other (please specify) ____________________</w:t>
            </w:r>
          </w:p>
          <w:p w14:paraId="16BEBC76" w14:textId="77777777" w:rsidR="009368D6" w:rsidRPr="00D87AB7" w:rsidRDefault="009368D6" w:rsidP="00797E83">
            <w:pPr>
              <w:pStyle w:val="CommentText"/>
              <w:rPr>
                <w:rFonts w:asciiTheme="majorHAnsi" w:hAnsiTheme="majorHAnsi" w:cstheme="majorHAnsi"/>
                <w:sz w:val="22"/>
                <w:szCs w:val="22"/>
              </w:rPr>
            </w:pPr>
            <w:r w:rsidRPr="00D87AB7">
              <w:rPr>
                <w:rFonts w:asciiTheme="majorHAnsi" w:hAnsiTheme="majorHAnsi" w:cstheme="majorHAnsi"/>
                <w:sz w:val="22"/>
                <w:szCs w:val="22"/>
              </w:rPr>
              <w:t xml:space="preserve">  </w:t>
            </w:r>
          </w:p>
        </w:tc>
      </w:tr>
      <w:tr w:rsidR="009368D6" w:rsidRPr="00D87AB7" w14:paraId="78F56685" w14:textId="77777777" w:rsidTr="008B4DC4">
        <w:trPr>
          <w:trHeight w:val="282"/>
        </w:trPr>
        <w:tc>
          <w:tcPr>
            <w:tcW w:w="4585" w:type="dxa"/>
          </w:tcPr>
          <w:p w14:paraId="69E9845E" w14:textId="790684A4" w:rsidR="009368D6" w:rsidRPr="00D87AB7" w:rsidRDefault="009368D6" w:rsidP="002177CD">
            <w:pPr>
              <w:spacing w:after="120"/>
              <w:jc w:val="both"/>
              <w:rPr>
                <w:rFonts w:asciiTheme="majorHAnsi" w:hAnsiTheme="majorHAnsi" w:cstheme="majorHAnsi"/>
                <w:highlight w:val="yellow"/>
              </w:rPr>
            </w:pPr>
            <w:r w:rsidRPr="00D87AB7">
              <w:rPr>
                <w:rFonts w:asciiTheme="majorHAnsi" w:hAnsiTheme="majorHAnsi" w:cstheme="majorHAnsi"/>
              </w:rPr>
              <w:t xml:space="preserve">I will </w:t>
            </w:r>
            <w:r w:rsidR="00B729C8" w:rsidRPr="00D87AB7">
              <w:rPr>
                <w:rFonts w:asciiTheme="majorHAnsi" w:hAnsiTheme="majorHAnsi" w:cstheme="majorHAnsi"/>
              </w:rPr>
              <w:t xml:space="preserve">need to apply </w:t>
            </w:r>
            <w:r w:rsidRPr="00D87AB7">
              <w:rPr>
                <w:rFonts w:asciiTheme="majorHAnsi" w:hAnsiTheme="majorHAnsi" w:cstheme="majorHAnsi"/>
              </w:rPr>
              <w:t>for bursary support</w:t>
            </w:r>
            <w:r w:rsidR="00783504" w:rsidRPr="00D87AB7">
              <w:rPr>
                <w:rFonts w:asciiTheme="majorHAnsi" w:hAnsiTheme="majorHAnsi" w:cstheme="majorHAnsi"/>
              </w:rPr>
              <w:t>, if selected</w:t>
            </w:r>
            <w:r w:rsidRPr="00D87AB7">
              <w:rPr>
                <w:rFonts w:asciiTheme="majorHAnsi" w:hAnsiTheme="majorHAnsi" w:cstheme="majorHAnsi"/>
                <w:iCs/>
              </w:rPr>
              <w:t>.</w:t>
            </w:r>
            <w:r w:rsidRPr="00D87AB7">
              <w:rPr>
                <w:rFonts w:asciiTheme="majorHAnsi" w:hAnsiTheme="majorHAnsi" w:cstheme="majorHAnsi"/>
                <w:i/>
              </w:rPr>
              <w:t xml:space="preserve"> </w:t>
            </w:r>
          </w:p>
        </w:tc>
        <w:tc>
          <w:tcPr>
            <w:tcW w:w="5490" w:type="dxa"/>
          </w:tcPr>
          <w:p w14:paraId="3E8809AD" w14:textId="72331445" w:rsidR="009368D6" w:rsidRPr="00D87AB7" w:rsidRDefault="008B4DC4" w:rsidP="002177CD">
            <w:pPr>
              <w:pStyle w:val="CommentText"/>
              <w:rPr>
                <w:rFonts w:asciiTheme="majorHAnsi" w:hAnsiTheme="majorHAnsi" w:cstheme="majorHAnsi"/>
                <w:sz w:val="22"/>
                <w:szCs w:val="22"/>
              </w:rPr>
            </w:pPr>
            <w:r w:rsidRPr="00D87AB7">
              <w:rPr>
                <w:rFonts w:ascii="Segoe UI Symbol" w:eastAsia="MS Gothic" w:hAnsi="Segoe UI Symbol" w:cs="Segoe UI Symbol"/>
              </w:rPr>
              <w:t>☑</w:t>
            </w:r>
            <w:r w:rsidR="009368D6" w:rsidRPr="00D87AB7">
              <w:rPr>
                <w:rFonts w:asciiTheme="majorHAnsi" w:hAnsiTheme="majorHAnsi" w:cstheme="majorHAnsi"/>
                <w:sz w:val="22"/>
                <w:szCs w:val="22"/>
              </w:rPr>
              <w:t xml:space="preserve"> Yes</w:t>
            </w:r>
          </w:p>
          <w:p w14:paraId="03E81189" w14:textId="77777777" w:rsidR="009368D6" w:rsidRPr="00D87AB7" w:rsidRDefault="009368D6" w:rsidP="002177CD">
            <w:pPr>
              <w:pStyle w:val="CommentText"/>
              <w:rPr>
                <w:rFonts w:asciiTheme="majorHAnsi" w:hAnsiTheme="majorHAnsi" w:cstheme="majorHAnsi"/>
                <w:sz w:val="22"/>
                <w:szCs w:val="22"/>
              </w:rPr>
            </w:pPr>
            <w:r w:rsidRPr="00D87AB7">
              <w:rPr>
                <w:rFonts w:asciiTheme="majorHAnsi" w:hAnsiTheme="majorHAnsi" w:cstheme="majorHAnsi"/>
                <w:sz w:val="22"/>
                <w:szCs w:val="22"/>
              </w:rPr>
              <w:t>□ No</w:t>
            </w:r>
          </w:p>
        </w:tc>
      </w:tr>
      <w:tr w:rsidR="009368D6" w:rsidRPr="00D87AB7" w14:paraId="007E281E" w14:textId="77777777" w:rsidTr="008B4DC4">
        <w:trPr>
          <w:trHeight w:val="282"/>
        </w:trPr>
        <w:tc>
          <w:tcPr>
            <w:tcW w:w="4585" w:type="dxa"/>
          </w:tcPr>
          <w:p w14:paraId="796AED88" w14:textId="0412C287" w:rsidR="009368D6" w:rsidRPr="00D87AB7" w:rsidRDefault="009368D6" w:rsidP="002177CD">
            <w:pPr>
              <w:spacing w:after="120"/>
              <w:jc w:val="both"/>
              <w:rPr>
                <w:rFonts w:asciiTheme="majorHAnsi" w:hAnsiTheme="majorHAnsi" w:cstheme="majorHAnsi"/>
              </w:rPr>
            </w:pPr>
            <w:r w:rsidRPr="00D87AB7">
              <w:rPr>
                <w:rFonts w:asciiTheme="majorHAnsi" w:hAnsiTheme="majorHAnsi" w:cstheme="majorHAnsi"/>
              </w:rPr>
              <w:t>Language</w:t>
            </w:r>
            <w:r w:rsidR="00543BC4" w:rsidRPr="00D87AB7">
              <w:rPr>
                <w:rFonts w:asciiTheme="majorHAnsi" w:hAnsiTheme="majorHAnsi" w:cstheme="majorHAnsi"/>
              </w:rPr>
              <w:t xml:space="preserve"> to be used for presentation</w:t>
            </w:r>
          </w:p>
        </w:tc>
        <w:tc>
          <w:tcPr>
            <w:tcW w:w="5490" w:type="dxa"/>
          </w:tcPr>
          <w:p w14:paraId="162765EE" w14:textId="3135C79C" w:rsidR="009368D6" w:rsidRPr="00D87AB7" w:rsidRDefault="008B4DC4" w:rsidP="002177CD">
            <w:pPr>
              <w:pStyle w:val="CommentText"/>
              <w:rPr>
                <w:rFonts w:asciiTheme="majorHAnsi" w:hAnsiTheme="majorHAnsi" w:cstheme="majorHAnsi"/>
                <w:sz w:val="22"/>
                <w:szCs w:val="22"/>
              </w:rPr>
            </w:pPr>
            <w:r w:rsidRPr="00D87AB7">
              <w:rPr>
                <w:rFonts w:ascii="Segoe UI Symbol" w:eastAsia="MS Gothic" w:hAnsi="Segoe UI Symbol" w:cs="Segoe UI Symbol"/>
              </w:rPr>
              <w:t>☑</w:t>
            </w:r>
            <w:r w:rsidR="009368D6" w:rsidRPr="00D87AB7">
              <w:rPr>
                <w:rFonts w:asciiTheme="majorHAnsi" w:hAnsiTheme="majorHAnsi" w:cstheme="majorHAnsi"/>
                <w:sz w:val="22"/>
                <w:szCs w:val="22"/>
              </w:rPr>
              <w:t xml:space="preserve"> English □ French □ Spanish </w:t>
            </w:r>
            <w:r w:rsidR="00175EFE" w:rsidRPr="00D87AB7">
              <w:rPr>
                <w:rFonts w:asciiTheme="majorHAnsi" w:hAnsiTheme="majorHAnsi" w:cstheme="majorHAnsi"/>
                <w:sz w:val="22"/>
                <w:szCs w:val="22"/>
              </w:rPr>
              <w:t>□ Chinese</w:t>
            </w:r>
          </w:p>
        </w:tc>
      </w:tr>
    </w:tbl>
    <w:p w14:paraId="5D16E61E" w14:textId="77777777" w:rsidR="00E559BF" w:rsidRDefault="00E559BF" w:rsidP="00A018CE">
      <w:pPr>
        <w:rPr>
          <w:rFonts w:asciiTheme="majorHAnsi" w:hAnsiTheme="majorHAnsi" w:cstheme="majorHAnsi"/>
          <w:b/>
          <w:bCs/>
        </w:rPr>
      </w:pPr>
    </w:p>
    <w:p w14:paraId="5713B004" w14:textId="4E4235CD" w:rsidR="00A018CE" w:rsidRPr="00D87AB7" w:rsidRDefault="00A018CE" w:rsidP="00A018CE">
      <w:pPr>
        <w:rPr>
          <w:rFonts w:asciiTheme="majorHAnsi" w:hAnsiTheme="majorHAnsi" w:cstheme="majorHAnsi"/>
          <w:b/>
          <w:bCs/>
        </w:rPr>
      </w:pPr>
      <w:r w:rsidRPr="00D87AB7">
        <w:rPr>
          <w:rFonts w:asciiTheme="majorHAnsi" w:hAnsiTheme="majorHAnsi" w:cstheme="majorHAnsi"/>
          <w:b/>
          <w:bCs/>
        </w:rPr>
        <w:lastRenderedPageBreak/>
        <w:t>Abstract Text (</w:t>
      </w:r>
      <w:r w:rsidR="003C7BA6" w:rsidRPr="00D87AB7">
        <w:rPr>
          <w:rFonts w:asciiTheme="majorHAnsi" w:hAnsiTheme="majorHAnsi" w:cstheme="majorHAnsi"/>
          <w:b/>
          <w:bCs/>
        </w:rPr>
        <w:t>m</w:t>
      </w:r>
      <w:r w:rsidR="00B22367" w:rsidRPr="00D87AB7">
        <w:rPr>
          <w:rFonts w:asciiTheme="majorHAnsi" w:hAnsiTheme="majorHAnsi" w:cstheme="majorHAnsi"/>
          <w:b/>
          <w:bCs/>
        </w:rPr>
        <w:t xml:space="preserve">ax. </w:t>
      </w:r>
      <w:r w:rsidRPr="00D87AB7">
        <w:rPr>
          <w:rFonts w:asciiTheme="majorHAnsi" w:hAnsiTheme="majorHAnsi" w:cstheme="majorHAnsi"/>
          <w:b/>
          <w:bCs/>
        </w:rPr>
        <w:t>500 words)</w:t>
      </w:r>
    </w:p>
    <w:tbl>
      <w:tblPr>
        <w:tblStyle w:val="TableGrid"/>
        <w:tblW w:w="0" w:type="auto"/>
        <w:tblLook w:val="04A0" w:firstRow="1" w:lastRow="0" w:firstColumn="1" w:lastColumn="0" w:noHBand="0" w:noVBand="1"/>
      </w:tblPr>
      <w:tblGrid>
        <w:gridCol w:w="10070"/>
      </w:tblGrid>
      <w:tr w:rsidR="00C4707F" w:rsidRPr="00D87AB7" w14:paraId="35EE4327" w14:textId="77777777" w:rsidTr="00C4707F">
        <w:tc>
          <w:tcPr>
            <w:tcW w:w="10070" w:type="dxa"/>
          </w:tcPr>
          <w:p w14:paraId="53F261DA" w14:textId="77777777" w:rsidR="00D87AB7" w:rsidRPr="00D87AB7" w:rsidRDefault="00D87AB7" w:rsidP="00DC1A9E">
            <w:pPr>
              <w:pStyle w:val="NormalWeb"/>
              <w:rPr>
                <w:rFonts w:asciiTheme="majorHAnsi" w:hAnsiTheme="majorHAnsi" w:cstheme="majorHAnsi"/>
              </w:rPr>
            </w:pPr>
          </w:p>
          <w:p w14:paraId="2A1F4341" w14:textId="06F08386" w:rsidR="00DC1A9E" w:rsidRPr="00D87AB7" w:rsidRDefault="00DC1A9E" w:rsidP="00DC1A9E">
            <w:pPr>
              <w:pStyle w:val="NormalWeb"/>
              <w:rPr>
                <w:rFonts w:asciiTheme="majorHAnsi" w:hAnsiTheme="majorHAnsi" w:cstheme="majorHAnsi"/>
              </w:rPr>
            </w:pPr>
            <w:r w:rsidRPr="00D87AB7">
              <w:rPr>
                <w:rFonts w:asciiTheme="majorHAnsi" w:hAnsiTheme="majorHAnsi" w:cstheme="majorHAnsi"/>
              </w:rPr>
              <w:t>In an increasingly globalized world, governments face the challenge of designing evaluation systems that respect cultural and contextual diversity while ensuring effective feedback mechanisms. This study explore</w:t>
            </w:r>
            <w:r w:rsidR="00650562" w:rsidRPr="00D87AB7">
              <w:rPr>
                <w:rFonts w:asciiTheme="majorHAnsi" w:hAnsiTheme="majorHAnsi" w:cstheme="majorHAnsi"/>
              </w:rPr>
              <w:t>d</w:t>
            </w:r>
            <w:r w:rsidRPr="00D87AB7">
              <w:rPr>
                <w:rFonts w:asciiTheme="majorHAnsi" w:hAnsiTheme="majorHAnsi" w:cstheme="majorHAnsi"/>
              </w:rPr>
              <w:t xml:space="preserve"> the innovative use of Short Message Service (SMS) as a tool for gathering citizen feedback on government services</w:t>
            </w:r>
            <w:r w:rsidR="00FF60AD" w:rsidRPr="00D87AB7">
              <w:rPr>
                <w:rFonts w:asciiTheme="majorHAnsi" w:hAnsiTheme="majorHAnsi" w:cstheme="majorHAnsi"/>
              </w:rPr>
              <w:t xml:space="preserve"> in Myanmar</w:t>
            </w:r>
            <w:r w:rsidRPr="00D87AB7">
              <w:rPr>
                <w:rFonts w:asciiTheme="majorHAnsi" w:hAnsiTheme="majorHAnsi" w:cstheme="majorHAnsi"/>
              </w:rPr>
              <w:t>, particularly in regions with diverse populations and varying levels of technological access.</w:t>
            </w:r>
          </w:p>
          <w:p w14:paraId="0C63D534" w14:textId="2239A6C7" w:rsidR="00DC1A9E" w:rsidRPr="00D87AB7" w:rsidRDefault="00DC1A9E" w:rsidP="00DC1A9E">
            <w:pPr>
              <w:pStyle w:val="NormalWeb"/>
              <w:rPr>
                <w:rFonts w:asciiTheme="majorHAnsi" w:hAnsiTheme="majorHAnsi" w:cstheme="majorHAnsi"/>
              </w:rPr>
            </w:pPr>
            <w:r w:rsidRPr="00D87AB7">
              <w:rPr>
                <w:rFonts w:asciiTheme="majorHAnsi" w:hAnsiTheme="majorHAnsi" w:cstheme="majorHAnsi"/>
              </w:rPr>
              <w:t xml:space="preserve">The </w:t>
            </w:r>
            <w:r w:rsidR="00FF60AD" w:rsidRPr="00D87AB7">
              <w:rPr>
                <w:rFonts w:asciiTheme="majorHAnsi" w:hAnsiTheme="majorHAnsi" w:cstheme="majorHAnsi"/>
              </w:rPr>
              <w:t>study</w:t>
            </w:r>
            <w:r w:rsidRPr="00D87AB7">
              <w:rPr>
                <w:rFonts w:asciiTheme="majorHAnsi" w:hAnsiTheme="majorHAnsi" w:cstheme="majorHAnsi"/>
              </w:rPr>
              <w:t xml:space="preserve"> </w:t>
            </w:r>
            <w:r w:rsidR="00FF60AD" w:rsidRPr="00D87AB7">
              <w:rPr>
                <w:rFonts w:asciiTheme="majorHAnsi" w:hAnsiTheme="majorHAnsi" w:cstheme="majorHAnsi"/>
              </w:rPr>
              <w:t>focused</w:t>
            </w:r>
            <w:r w:rsidRPr="00D87AB7">
              <w:rPr>
                <w:rFonts w:asciiTheme="majorHAnsi" w:hAnsiTheme="majorHAnsi" w:cstheme="majorHAnsi"/>
              </w:rPr>
              <w:t xml:space="preserve"> on the practicality and efficiency of SMS-based feedback systems, highlighting their potential to bridge the gap between citizens and governments in areas where internet penetration is low but mobile phone usage is high. SMS offers a straightforward, accessible, and cost-effective method for collecting real-time data from a broad demographic, including marginalized communities that might be excluded from more advanced digital platforms.</w:t>
            </w:r>
          </w:p>
          <w:p w14:paraId="6CF6F565" w14:textId="11E42179" w:rsidR="00DC1A9E" w:rsidRPr="00D87AB7" w:rsidRDefault="00DC1A9E" w:rsidP="00DC1A9E">
            <w:pPr>
              <w:pStyle w:val="NormalWeb"/>
              <w:rPr>
                <w:rFonts w:asciiTheme="majorHAnsi" w:hAnsiTheme="majorHAnsi" w:cstheme="majorHAnsi"/>
              </w:rPr>
            </w:pPr>
            <w:r w:rsidRPr="00D87AB7">
              <w:rPr>
                <w:rFonts w:asciiTheme="majorHAnsi" w:hAnsiTheme="majorHAnsi" w:cstheme="majorHAnsi"/>
              </w:rPr>
              <w:t>Key objectives include</w:t>
            </w:r>
            <w:r w:rsidR="00FF60AD" w:rsidRPr="00D87AB7">
              <w:rPr>
                <w:rFonts w:asciiTheme="majorHAnsi" w:hAnsiTheme="majorHAnsi" w:cstheme="majorHAnsi"/>
              </w:rPr>
              <w:t>d</w:t>
            </w:r>
            <w:r w:rsidRPr="00D87AB7">
              <w:rPr>
                <w:rFonts w:asciiTheme="majorHAnsi" w:hAnsiTheme="majorHAnsi" w:cstheme="majorHAnsi"/>
              </w:rPr>
              <w:t xml:space="preserve"> assessing the adaptability of SMS feedback systems to different national contexts, examining the cultural nuances that influence citizen engagement, and identifying best practices for integrating SMS feedback into broader evaluation frameworks. Through case studies and empirical analysis, the study evaluate</w:t>
            </w:r>
            <w:r w:rsidR="00FF60AD" w:rsidRPr="00D87AB7">
              <w:rPr>
                <w:rFonts w:asciiTheme="majorHAnsi" w:hAnsiTheme="majorHAnsi" w:cstheme="majorHAnsi"/>
              </w:rPr>
              <w:t>d</w:t>
            </w:r>
            <w:r w:rsidRPr="00D87AB7">
              <w:rPr>
                <w:rFonts w:asciiTheme="majorHAnsi" w:hAnsiTheme="majorHAnsi" w:cstheme="majorHAnsi"/>
              </w:rPr>
              <w:t xml:space="preserve"> how governments can customize their feedback mechanisms to accommodate local languages, literacy levels, and social norms, thereby enhancing the inclusiveness and representativeness of the data collected.</w:t>
            </w:r>
          </w:p>
          <w:p w14:paraId="5A02836E" w14:textId="662A5C2F" w:rsidR="00535900" w:rsidRPr="00D87AB7" w:rsidRDefault="00535900" w:rsidP="00DC1A9E">
            <w:pPr>
              <w:pStyle w:val="NormalWeb"/>
              <w:rPr>
                <w:rFonts w:asciiTheme="majorHAnsi" w:hAnsiTheme="majorHAnsi" w:cstheme="majorHAnsi"/>
              </w:rPr>
            </w:pPr>
            <w:r w:rsidRPr="00D87AB7">
              <w:rPr>
                <w:rFonts w:asciiTheme="majorHAnsi" w:hAnsiTheme="majorHAnsi" w:cstheme="majorHAnsi"/>
              </w:rPr>
              <w:t>Over the course of 18 months (August 2018 – February 2020), over 40 telecommunications campaigns were conducted, reaching over 40,000 individual beneficiaries across Myanmar. Several government departments engaged in the process, including the Department for Rural Development (DRD), Ministry of Education (</w:t>
            </w:r>
            <w:proofErr w:type="spellStart"/>
            <w:r w:rsidRPr="00D87AB7">
              <w:rPr>
                <w:rFonts w:asciiTheme="majorHAnsi" w:hAnsiTheme="majorHAnsi" w:cstheme="majorHAnsi"/>
              </w:rPr>
              <w:t>MoE</w:t>
            </w:r>
            <w:proofErr w:type="spellEnd"/>
            <w:r w:rsidRPr="00D87AB7">
              <w:rPr>
                <w:rFonts w:asciiTheme="majorHAnsi" w:hAnsiTheme="majorHAnsi" w:cstheme="majorHAnsi"/>
              </w:rPr>
              <w:t>), Ministry of Electricity and Energy (MOEE), Department of Construction, Bago Municipal government, Magwe Regional government, as well as members of parliament</w:t>
            </w:r>
            <w:r w:rsidRPr="00D87AB7">
              <w:rPr>
                <w:rFonts w:asciiTheme="majorHAnsi" w:hAnsiTheme="majorHAnsi" w:cstheme="majorHAnsi"/>
              </w:rPr>
              <w:t>.</w:t>
            </w:r>
          </w:p>
          <w:p w14:paraId="593104CC" w14:textId="77E4EC48" w:rsidR="00DC1A9E" w:rsidRPr="00D87AB7" w:rsidRDefault="00DC1A9E" w:rsidP="00DC1A9E">
            <w:pPr>
              <w:pStyle w:val="NormalWeb"/>
              <w:rPr>
                <w:rFonts w:asciiTheme="majorHAnsi" w:hAnsiTheme="majorHAnsi" w:cstheme="majorHAnsi"/>
              </w:rPr>
            </w:pPr>
            <w:r w:rsidRPr="00D87AB7">
              <w:rPr>
                <w:rFonts w:asciiTheme="majorHAnsi" w:hAnsiTheme="majorHAnsi" w:cstheme="majorHAnsi"/>
              </w:rPr>
              <w:t>The findings indicate</w:t>
            </w:r>
            <w:r w:rsidR="00FF60AD" w:rsidRPr="00D87AB7">
              <w:rPr>
                <w:rFonts w:asciiTheme="majorHAnsi" w:hAnsiTheme="majorHAnsi" w:cstheme="majorHAnsi"/>
              </w:rPr>
              <w:t>d</w:t>
            </w:r>
            <w:r w:rsidRPr="00D87AB7">
              <w:rPr>
                <w:rFonts w:asciiTheme="majorHAnsi" w:hAnsiTheme="majorHAnsi" w:cstheme="majorHAnsi"/>
              </w:rPr>
              <w:t xml:space="preserve"> that SMS feedback systems can significantly improve citizen participation and satisfaction with government services when appropriately tailored to the national and cultural context. They also reveal the importance of designing feedback processes that are user-friendly, secure, and transparent to build trust and encourage honest responses.</w:t>
            </w:r>
          </w:p>
          <w:p w14:paraId="78B40293" w14:textId="5C2BCDEE" w:rsidR="00C3192A" w:rsidRPr="00D87AB7" w:rsidRDefault="00C3192A" w:rsidP="00DC1A9E">
            <w:pPr>
              <w:pStyle w:val="NormalWeb"/>
              <w:rPr>
                <w:rFonts w:asciiTheme="majorHAnsi" w:hAnsiTheme="majorHAnsi" w:cstheme="majorHAnsi"/>
              </w:rPr>
            </w:pPr>
            <w:r w:rsidRPr="00D87AB7">
              <w:rPr>
                <w:rFonts w:asciiTheme="majorHAnsi" w:hAnsiTheme="majorHAnsi" w:cstheme="majorHAnsi"/>
              </w:rPr>
              <w:t xml:space="preserve">SMS has proved a successful channel for conducting large-scale campaigns among service users in the </w:t>
            </w:r>
            <w:proofErr w:type="gramStart"/>
            <w:r w:rsidRPr="00D87AB7">
              <w:rPr>
                <w:rFonts w:asciiTheme="majorHAnsi" w:hAnsiTheme="majorHAnsi" w:cstheme="majorHAnsi"/>
              </w:rPr>
              <w:t>general public</w:t>
            </w:r>
            <w:proofErr w:type="gramEnd"/>
            <w:r w:rsidRPr="00D87AB7">
              <w:rPr>
                <w:rFonts w:asciiTheme="majorHAnsi" w:hAnsiTheme="majorHAnsi" w:cstheme="majorHAnsi"/>
              </w:rPr>
              <w:t>. The use of a short-code system made this process fast and efficient, although some limitations in Myanmar’s telecommunications sector (such as the challenges of having a single short-code across operators, or to have two-way messaging with on- and off-net customers) meant that the short-code was not as inclusive as anticipated.</w:t>
            </w:r>
          </w:p>
          <w:p w14:paraId="4891EF89" w14:textId="77777777" w:rsidR="00DC1A9E" w:rsidRPr="00D87AB7" w:rsidRDefault="00DC1A9E" w:rsidP="00DC1A9E">
            <w:pPr>
              <w:pStyle w:val="NormalWeb"/>
              <w:rPr>
                <w:rFonts w:asciiTheme="majorHAnsi" w:hAnsiTheme="majorHAnsi" w:cstheme="majorHAnsi"/>
              </w:rPr>
            </w:pPr>
            <w:r w:rsidRPr="00D87AB7">
              <w:rPr>
                <w:rFonts w:asciiTheme="majorHAnsi" w:hAnsiTheme="majorHAnsi" w:cstheme="majorHAnsi"/>
              </w:rPr>
              <w:t xml:space="preserve">By leveraging the ubiquity of mobile phones, governments can create more responsive and accountable public service delivery systems. This study provides practical guidelines for </w:t>
            </w:r>
            <w:r w:rsidRPr="00D87AB7">
              <w:rPr>
                <w:rFonts w:asciiTheme="majorHAnsi" w:hAnsiTheme="majorHAnsi" w:cstheme="majorHAnsi"/>
              </w:rPr>
              <w:lastRenderedPageBreak/>
              <w:t>policymakers and administrators to implement SMS-based feedback mechanisms, emphasizing the need for continuous adaptation and cultural sensitivity in evaluation systems.</w:t>
            </w:r>
          </w:p>
          <w:p w14:paraId="175F167C" w14:textId="17880D30" w:rsidR="00C4707F" w:rsidRPr="00D87AB7" w:rsidRDefault="00DC1A9E" w:rsidP="00C3192A">
            <w:pPr>
              <w:pStyle w:val="NormalWeb"/>
              <w:rPr>
                <w:rFonts w:asciiTheme="majorHAnsi" w:hAnsiTheme="majorHAnsi" w:cstheme="majorHAnsi"/>
              </w:rPr>
            </w:pPr>
            <w:r w:rsidRPr="00D87AB7">
              <w:rPr>
                <w:rStyle w:val="Strong"/>
                <w:rFonts w:asciiTheme="majorHAnsi" w:hAnsiTheme="majorHAnsi" w:cstheme="majorHAnsi"/>
              </w:rPr>
              <w:t>Keywords:</w:t>
            </w:r>
            <w:r w:rsidRPr="00D87AB7">
              <w:rPr>
                <w:rFonts w:asciiTheme="majorHAnsi" w:hAnsiTheme="majorHAnsi" w:cstheme="majorHAnsi"/>
              </w:rPr>
              <w:t xml:space="preserve"> SMS feedback, government services, cultural diversity, contextual tailoring, citizen engagement, evaluation systems, mobile technology, public service delivery.</w:t>
            </w: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3A176" w14:textId="77777777" w:rsidR="002E46A8" w:rsidRDefault="002E46A8" w:rsidP="00D2741A">
      <w:pPr>
        <w:spacing w:after="0" w:line="240" w:lineRule="auto"/>
      </w:pPr>
      <w:r>
        <w:separator/>
      </w:r>
    </w:p>
  </w:endnote>
  <w:endnote w:type="continuationSeparator" w:id="0">
    <w:p w14:paraId="5FA40292" w14:textId="77777777" w:rsidR="002E46A8" w:rsidRDefault="002E46A8" w:rsidP="00D2741A">
      <w:pPr>
        <w:spacing w:after="0" w:line="240" w:lineRule="auto"/>
      </w:pPr>
      <w:r>
        <w:continuationSeparator/>
      </w:r>
    </w:p>
  </w:endnote>
  <w:endnote w:type="continuationNotice" w:id="1">
    <w:p w14:paraId="4B3A1B4E" w14:textId="77777777" w:rsidR="002E46A8" w:rsidRDefault="002E4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FA776" w14:textId="77777777" w:rsidR="002E46A8" w:rsidRDefault="002E46A8" w:rsidP="00D2741A">
      <w:pPr>
        <w:spacing w:after="0" w:line="240" w:lineRule="auto"/>
      </w:pPr>
      <w:r>
        <w:separator/>
      </w:r>
    </w:p>
  </w:footnote>
  <w:footnote w:type="continuationSeparator" w:id="0">
    <w:p w14:paraId="4F7A0681" w14:textId="77777777" w:rsidR="002E46A8" w:rsidRDefault="002E46A8" w:rsidP="00D2741A">
      <w:pPr>
        <w:spacing w:after="0" w:line="240" w:lineRule="auto"/>
      </w:pPr>
      <w:r>
        <w:continuationSeparator/>
      </w:r>
    </w:p>
  </w:footnote>
  <w:footnote w:type="continuationNotice" w:id="1">
    <w:p w14:paraId="36EB9467" w14:textId="77777777" w:rsidR="002E46A8" w:rsidRDefault="002E46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46A8"/>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2EA9"/>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900"/>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562"/>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4DC4"/>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46775"/>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192A"/>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56E6F"/>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2337"/>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3B92"/>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87AB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1A9E"/>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559BF"/>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3740"/>
    <w:rsid w:val="00FF60AD"/>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 w:type="paragraph" w:styleId="NormalWeb">
    <w:name w:val="Normal (Web)"/>
    <w:basedOn w:val="Normal"/>
    <w:uiPriority w:val="99"/>
    <w:unhideWhenUsed/>
    <w:rsid w:val="00DC1A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5305867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akantsingh@arm-myanma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2.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4.xml><?xml version="1.0" encoding="utf-8"?>
<ds:datastoreItem xmlns:ds="http://schemas.openxmlformats.org/officeDocument/2006/customXml" ds:itemID="{2F729F8A-0A6A-4AC0-A91D-D41185843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Umakant Singh</cp:lastModifiedBy>
  <cp:revision>3</cp:revision>
  <cp:lastPrinted>2022-03-10T21:45:00Z</cp:lastPrinted>
  <dcterms:created xsi:type="dcterms:W3CDTF">2024-06-23T03:32:00Z</dcterms:created>
  <dcterms:modified xsi:type="dcterms:W3CDTF">2024-06-23T03:33:00Z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